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45D13"/>
    <w:p w14:paraId="42E798A9"/>
    <w:p w14:paraId="0C1A033C"/>
    <w:p w14:paraId="6FBD4A7B"/>
    <w:p w14:paraId="01CE9B9E">
      <w:pPr>
        <w:rPr>
          <w:rFonts w:hint="eastAsia" w:ascii="微软雅黑" w:hAnsi="微软雅黑" w:eastAsia="微软雅黑" w:cs="微软雅黑"/>
        </w:rPr>
      </w:pPr>
    </w:p>
    <w:p w14:paraId="6F2E591D">
      <w:pPr>
        <w:rPr>
          <w:rFonts w:hint="eastAsia" w:ascii="微软雅黑" w:hAnsi="微软雅黑" w:eastAsia="微软雅黑" w:cs="微软雅黑"/>
        </w:rPr>
      </w:pPr>
    </w:p>
    <w:p w14:paraId="4345A1F8">
      <w:pPr>
        <w:jc w:val="center"/>
        <w:rPr>
          <w:rFonts w:hint="eastAsia" w:ascii="微软雅黑" w:hAnsi="微软雅黑" w:eastAsia="微软雅黑" w:cs="微软雅黑"/>
        </w:rPr>
      </w:pPr>
      <w:r>
        <w:rPr>
          <w:rFonts w:hint="eastAsia" w:ascii="微软雅黑" w:hAnsi="微软雅黑" w:eastAsia="微软雅黑" w:cs="微软雅黑"/>
          <w:b/>
          <w:sz w:val="40"/>
          <w:lang w:val="en-US" w:eastAsia="zh-CN"/>
        </w:rPr>
        <w:t>赣锋锂业</w:t>
      </w:r>
      <w:r>
        <w:rPr>
          <w:rFonts w:hint="eastAsia" w:ascii="微软雅黑" w:hAnsi="微软雅黑" w:eastAsia="微软雅黑" w:cs="微软雅黑"/>
          <w:b/>
          <w:sz w:val="40"/>
        </w:rPr>
        <w:t>可持续采购政策</w:t>
      </w:r>
    </w:p>
    <w:p w14:paraId="6715CBC7">
      <w:pPr>
        <w:rPr>
          <w:rFonts w:hint="eastAsia" w:ascii="微软雅黑" w:hAnsi="微软雅黑" w:eastAsia="微软雅黑" w:cs="微软雅黑"/>
        </w:rPr>
      </w:pPr>
      <w:r>
        <w:rPr>
          <w:rFonts w:hint="eastAsia" w:ascii="微软雅黑" w:hAnsi="微软雅黑" w:eastAsia="微软雅黑" w:cs="微软雅黑"/>
        </w:rPr>
        <w:br w:type="page"/>
      </w:r>
    </w:p>
    <w:p w14:paraId="12FACE2F">
      <w:pPr>
        <w:pStyle w:val="3"/>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第一章  总则</w:t>
      </w:r>
    </w:p>
    <w:p w14:paraId="065D0EBC">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1.1 目的</w:t>
      </w:r>
    </w:p>
    <w:p w14:paraId="6C35DA02">
      <w:pPr>
        <w:spacing w:line="336" w:lineRule="auto"/>
        <w:ind w:firstLine="440"/>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为将可持续发展理念系统性融入公司采购活动与供应链管理，确保采购决策在环境、社会和</w:t>
      </w:r>
      <w:r>
        <w:rPr>
          <w:rFonts w:hint="eastAsia" w:ascii="微软雅黑" w:hAnsi="微软雅黑" w:eastAsia="微软雅黑" w:cs="微软雅黑"/>
          <w:b w:val="0"/>
          <w:sz w:val="24"/>
          <w:szCs w:val="24"/>
          <w:lang w:val="en-US" w:eastAsia="zh-CN"/>
        </w:rPr>
        <w:t>治理</w:t>
      </w:r>
      <w:r>
        <w:rPr>
          <w:rFonts w:hint="eastAsia" w:ascii="微软雅黑" w:hAnsi="微软雅黑" w:eastAsia="微软雅黑" w:cs="微软雅黑"/>
          <w:b w:val="0"/>
          <w:sz w:val="24"/>
          <w:szCs w:val="24"/>
        </w:rPr>
        <w:t>三个维度产生积极影响并尽可能减少负面影响，防范供应链风险，提升公司 ESG 治理水平与品牌声誉，依据相关法律法规、 ISO 20400《可持续采购指南》，特制定本政策。</w:t>
      </w:r>
    </w:p>
    <w:p w14:paraId="3A1D1FD3">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本政策对标联合国可持续发展目标（UN SDGs),重点支持以下目标：</w:t>
      </w:r>
    </w:p>
    <w:p w14:paraId="51C82866">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SDG5：性别平等</w:t>
      </w:r>
    </w:p>
    <w:p w14:paraId="5C9D8725">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SDG7：经济适用的清洁能源</w:t>
      </w:r>
    </w:p>
    <w:p w14:paraId="4CD531D2">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SDG8：体面工作与经济增长</w:t>
      </w:r>
    </w:p>
    <w:p w14:paraId="564C68DB">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SDG10：减少不平等</w:t>
      </w:r>
    </w:p>
    <w:p w14:paraId="6219620E">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SDG12：负责任消费与生产</w:t>
      </w:r>
    </w:p>
    <w:p w14:paraId="39B6E3F1">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SDG13：气候行动</w:t>
      </w:r>
    </w:p>
    <w:p w14:paraId="6354717B">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SDG15：陆地生物</w:t>
      </w:r>
    </w:p>
    <w:p w14:paraId="28A79712">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SDG16：和平、正义与强大机构</w:t>
      </w:r>
    </w:p>
    <w:p w14:paraId="6AEC9AEE">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SDG17：促进目标实现的伙伴关系</w:t>
      </w:r>
    </w:p>
    <w:p w14:paraId="1F14CF01">
      <w:pPr>
        <w:spacing w:line="336" w:lineRule="auto"/>
        <w:ind w:firstLine="440"/>
        <w:rPr>
          <w:rFonts w:hint="eastAsia" w:ascii="微软雅黑" w:hAnsi="微软雅黑" w:eastAsia="微软雅黑" w:cs="微软雅黑"/>
          <w:b w:val="0"/>
          <w:sz w:val="24"/>
          <w:szCs w:val="24"/>
          <w:lang w:val="en-US" w:eastAsia="zh-CN"/>
        </w:rPr>
      </w:pPr>
    </w:p>
    <w:p w14:paraId="301AAE8A">
      <w:pPr>
        <w:spacing w:line="336" w:lineRule="auto"/>
        <w:ind w:firstLine="440"/>
        <w:rPr>
          <w:rFonts w:hint="eastAsia" w:ascii="微软雅黑" w:hAnsi="微软雅黑" w:eastAsia="微软雅黑" w:cs="微软雅黑"/>
          <w:b w:val="0"/>
          <w:sz w:val="24"/>
          <w:szCs w:val="24"/>
          <w:lang w:val="en-US" w:eastAsia="zh-CN"/>
        </w:rPr>
      </w:pPr>
    </w:p>
    <w:p w14:paraId="185FE674">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1.2 适用范围</w:t>
      </w:r>
    </w:p>
    <w:p w14:paraId="064B66AF">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rPr>
        <w:t>本政策适用于</w:t>
      </w:r>
      <w:r>
        <w:rPr>
          <w:rFonts w:hint="eastAsia" w:ascii="微软雅黑" w:hAnsi="微软雅黑" w:eastAsia="微软雅黑" w:cs="微软雅黑"/>
          <w:b w:val="0"/>
          <w:sz w:val="24"/>
          <w:szCs w:val="24"/>
          <w:lang w:val="en-US" w:eastAsia="zh-CN"/>
        </w:rPr>
        <w:t>赣锋锂业集团全球所有实体，包括但不限于总部、</w:t>
      </w:r>
      <w:r>
        <w:rPr>
          <w:rFonts w:hint="eastAsia" w:ascii="微软雅黑" w:hAnsi="微软雅黑" w:eastAsia="微软雅黑" w:cs="微软雅黑"/>
          <w:b w:val="0"/>
          <w:sz w:val="24"/>
          <w:szCs w:val="24"/>
        </w:rPr>
        <w:t>合并范围内各子公司、分支机构</w:t>
      </w:r>
      <w:r>
        <w:rPr>
          <w:rFonts w:hint="eastAsia" w:ascii="微软雅黑" w:hAnsi="微软雅黑" w:eastAsia="微软雅黑" w:cs="微软雅黑"/>
          <w:b w:val="0"/>
          <w:sz w:val="24"/>
          <w:szCs w:val="24"/>
          <w:lang w:eastAsia="zh-CN"/>
        </w:rPr>
        <w:t>、</w:t>
      </w:r>
      <w:r>
        <w:rPr>
          <w:rFonts w:hint="eastAsia" w:ascii="微软雅黑" w:hAnsi="微软雅黑" w:eastAsia="微软雅黑" w:cs="微软雅黑"/>
          <w:b w:val="0"/>
          <w:sz w:val="24"/>
          <w:szCs w:val="24"/>
          <w:lang w:val="en-US" w:eastAsia="zh-CN"/>
        </w:rPr>
        <w:t>合资企业及控股公司。</w:t>
      </w:r>
    </w:p>
    <w:p w14:paraId="24F88C3F">
      <w:pPr>
        <w:spacing w:line="336" w:lineRule="auto"/>
        <w:ind w:firstLine="440"/>
        <w:rPr>
          <w:rFonts w:hint="eastAsia" w:ascii="微软雅黑" w:hAnsi="微软雅黑" w:eastAsia="微软雅黑" w:cs="微软雅黑"/>
          <w:sz w:val="24"/>
          <w:szCs w:val="24"/>
        </w:rPr>
      </w:pPr>
      <w:r>
        <w:rPr>
          <w:rFonts w:hint="eastAsia" w:ascii="微软雅黑" w:hAnsi="微软雅黑" w:eastAsia="微软雅黑" w:cs="微软雅黑"/>
          <w:b w:val="0"/>
          <w:sz w:val="24"/>
          <w:szCs w:val="24"/>
          <w:lang w:val="en-US" w:eastAsia="zh-CN"/>
        </w:rPr>
        <w:t>本政策同时约束与赣锋集团“经营活动链”相关的所有业务伙伴，</w:t>
      </w:r>
      <w:r>
        <w:rPr>
          <w:rFonts w:hint="eastAsia" w:ascii="微软雅黑" w:hAnsi="微软雅黑" w:eastAsia="微软雅黑" w:cs="微软雅黑"/>
          <w:b w:val="0"/>
          <w:sz w:val="24"/>
          <w:szCs w:val="24"/>
        </w:rPr>
        <w:t>包括</w:t>
      </w:r>
      <w:r>
        <w:rPr>
          <w:rFonts w:hint="eastAsia" w:ascii="微软雅黑" w:hAnsi="微软雅黑" w:eastAsia="微软雅黑" w:cs="微软雅黑"/>
          <w:b w:val="0"/>
          <w:sz w:val="24"/>
          <w:szCs w:val="24"/>
          <w:lang w:val="en-US" w:eastAsia="zh-CN"/>
        </w:rPr>
        <w:t>直接供应商、间接供应商、承包商、服务商及其他合作方</w:t>
      </w:r>
      <w:r>
        <w:rPr>
          <w:rFonts w:hint="eastAsia" w:ascii="微软雅黑" w:hAnsi="微软雅黑" w:eastAsia="微软雅黑" w:cs="微软雅黑"/>
          <w:b w:val="0"/>
          <w:sz w:val="24"/>
          <w:szCs w:val="24"/>
        </w:rPr>
        <w:t>。</w:t>
      </w:r>
    </w:p>
    <w:p w14:paraId="4EF7D9BB">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1.3 编制依据</w:t>
      </w:r>
    </w:p>
    <w:p w14:paraId="70A6D376">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1. 《中华人民共和国劳动法》《中华人民共和国劳动合同法》《中华人民共和国环境保护法》《中华人民共和国安全生产法》等法律法规；</w:t>
      </w:r>
    </w:p>
    <w:p w14:paraId="41B14415">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 ISO 20400:2017《可持续采购指南》；</w:t>
      </w:r>
    </w:p>
    <w:p w14:paraId="6C4F485D">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 ISO 26000《社会责任指南》；</w:t>
      </w:r>
    </w:p>
    <w:p w14:paraId="0E4FF4FB">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5. 联合国</w:t>
      </w:r>
      <w:r>
        <w:rPr>
          <w:rFonts w:hint="eastAsia" w:ascii="微软雅黑" w:hAnsi="微软雅黑" w:eastAsia="微软雅黑" w:cs="微软雅黑"/>
          <w:sz w:val="24"/>
          <w:szCs w:val="24"/>
          <w:lang w:val="en-US" w:eastAsia="zh-CN"/>
        </w:rPr>
        <w:t>UN</w:t>
      </w:r>
      <w:r>
        <w:rPr>
          <w:rFonts w:hint="eastAsia" w:ascii="微软雅黑" w:hAnsi="微软雅黑" w:eastAsia="微软雅黑" w:cs="微软雅黑"/>
          <w:sz w:val="24"/>
          <w:szCs w:val="24"/>
        </w:rPr>
        <w:t>《全球契约》十项原则及联合国可持续发展目标（SDGs）；</w:t>
      </w:r>
    </w:p>
    <w:p w14:paraId="78F3BD32">
      <w:pPr>
        <w:spacing w:after="0" w:line="324" w:lineRule="auto"/>
        <w:ind w:left="360" w:right="0" w:firstLine="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6. </w:t>
      </w:r>
      <w:r>
        <w:rPr>
          <w:rFonts w:hint="eastAsia" w:ascii="微软雅黑" w:hAnsi="微软雅黑" w:eastAsia="微软雅黑" w:cs="微软雅黑"/>
          <w:sz w:val="24"/>
          <w:szCs w:val="24"/>
        </w:rPr>
        <w:t>经济合作与发展组织</w:t>
      </w:r>
      <w:r>
        <w:rPr>
          <w:rFonts w:hint="eastAsia" w:ascii="微软雅黑" w:hAnsi="微软雅黑" w:eastAsia="微软雅黑" w:cs="微软雅黑"/>
          <w:sz w:val="24"/>
          <w:szCs w:val="24"/>
          <w:lang w:val="en-US" w:eastAsia="zh-CN"/>
        </w:rPr>
        <w:t>OECD《</w:t>
      </w:r>
      <w:r>
        <w:rPr>
          <w:rFonts w:hint="eastAsia" w:ascii="微软雅黑" w:hAnsi="微软雅黑" w:eastAsia="微软雅黑" w:cs="微软雅黑"/>
          <w:sz w:val="24"/>
          <w:szCs w:val="24"/>
        </w:rPr>
        <w:t>负责任商业行为尽责管理指南》</w:t>
      </w:r>
    </w:p>
    <w:p w14:paraId="779816B5">
      <w:pPr>
        <w:spacing w:after="0" w:line="324" w:lineRule="auto"/>
        <w:ind w:left="360" w:right="0" w:firstLine="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经济合作与发展组织OECD《关于来自受冲突影响和高风险区域的矿石的负责任供应链尽责管理指南,第三版》</w:t>
      </w:r>
    </w:p>
    <w:p w14:paraId="06BD2231">
      <w:pPr>
        <w:spacing w:after="0" w:line="324" w:lineRule="auto"/>
        <w:ind w:left="360" w:right="0" w:firstLine="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中国五矿化工进出口商会CCCMC《中国负责任矿产供应链尽责管理指南》</w:t>
      </w:r>
    </w:p>
    <w:p w14:paraId="5780DB30">
      <w:pPr>
        <w:spacing w:after="0" w:line="324" w:lineRule="auto"/>
        <w:ind w:left="36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9.欧盟EU</w:t>
      </w:r>
      <w:r>
        <w:rPr>
          <w:rFonts w:hint="eastAsia" w:ascii="微软雅黑" w:hAnsi="微软雅黑" w:eastAsia="微软雅黑" w:cs="微软雅黑"/>
          <w:sz w:val="24"/>
          <w:szCs w:val="24"/>
        </w:rPr>
        <w:t>《欧盟电池法案》</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Regulation(EU)2023/1542)</w:t>
      </w:r>
    </w:p>
    <w:p w14:paraId="6AA27D99">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 公司</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赣锋锂业可持续发展准则与承诺》</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赣锋锂业</w:t>
      </w:r>
      <w:r>
        <w:rPr>
          <w:rFonts w:hint="eastAsia" w:ascii="微软雅黑" w:hAnsi="微软雅黑" w:eastAsia="微软雅黑" w:cs="微软雅黑"/>
          <w:sz w:val="24"/>
          <w:szCs w:val="24"/>
        </w:rPr>
        <w:t>供应商行为准则》及相关</w:t>
      </w:r>
      <w:r>
        <w:rPr>
          <w:rFonts w:hint="eastAsia" w:ascii="微软雅黑" w:hAnsi="微软雅黑" w:eastAsia="微软雅黑" w:cs="微软雅黑"/>
          <w:sz w:val="24"/>
          <w:szCs w:val="24"/>
          <w:lang w:val="en-US" w:eastAsia="zh-CN"/>
        </w:rPr>
        <w:t>内部</w:t>
      </w:r>
      <w:r>
        <w:rPr>
          <w:rFonts w:hint="eastAsia" w:ascii="微软雅黑" w:hAnsi="微软雅黑" w:eastAsia="微软雅黑" w:cs="微软雅黑"/>
          <w:sz w:val="24"/>
          <w:szCs w:val="24"/>
        </w:rPr>
        <w:t>管理制度。</w:t>
      </w:r>
    </w:p>
    <w:p w14:paraId="76383856">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1.4 术语定义</w:t>
      </w:r>
    </w:p>
    <w:p w14:paraId="39B579C0">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1. </w:t>
      </w:r>
      <w:r>
        <w:rPr>
          <w:rFonts w:hint="eastAsia" w:ascii="微软雅黑" w:hAnsi="微软雅黑" w:eastAsia="微软雅黑" w:cs="微软雅黑"/>
          <w:sz w:val="24"/>
          <w:szCs w:val="24"/>
        </w:rPr>
        <w:t>可持续采购：在整个产品或服务生命周期内，尽可能产生积极的环境、社会和经济影响并尽量减少不利影响的采购活动。</w:t>
      </w:r>
    </w:p>
    <w:p w14:paraId="527613CE">
      <w:pPr>
        <w:spacing w:line="324" w:lineRule="auto"/>
        <w:ind w:left="36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 负责任矿产采购：企业在矿产及其制品的采购活动中，通过建立并实施与风险相适应的供应链管理体系，系统性识别、评估、预防、缓解并说明其在供应链中可能助长武装冲突、严重侵犯人权及造成环境与社会不利影响的实际风险和潜在风险。</w:t>
      </w:r>
    </w:p>
    <w:p w14:paraId="0B96DE2B">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3. </w:t>
      </w:r>
      <w:r>
        <w:rPr>
          <w:rFonts w:hint="eastAsia" w:ascii="微软雅黑" w:hAnsi="微软雅黑" w:eastAsia="微软雅黑" w:cs="微软雅黑"/>
          <w:sz w:val="24"/>
          <w:szCs w:val="24"/>
        </w:rPr>
        <w:t>尽职调查（Due Diligence）：为识别、预防、缓解和说明自身及供应链中实际与潜在不利可持续性影响而开展的风险管理过程。</w:t>
      </w:r>
    </w:p>
    <w:p w14:paraId="06ACEC8D">
      <w:pPr>
        <w:spacing w:line="324" w:lineRule="auto"/>
        <w:rPr>
          <w:rFonts w:hint="eastAsia" w:ascii="微软雅黑" w:hAnsi="微软雅黑" w:eastAsia="微软雅黑" w:cs="微软雅黑"/>
          <w:sz w:val="24"/>
          <w:szCs w:val="24"/>
        </w:rPr>
      </w:pPr>
    </w:p>
    <w:p w14:paraId="47FC9E44">
      <w:pPr>
        <w:pStyle w:val="3"/>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第二章  基本原则</w:t>
      </w:r>
    </w:p>
    <w:p w14:paraId="38F2FE03">
      <w:pPr>
        <w:spacing w:line="336" w:lineRule="auto"/>
        <w:ind w:firstLine="440"/>
        <w:rPr>
          <w:rFonts w:hint="eastAsia" w:ascii="微软雅黑" w:hAnsi="微软雅黑" w:eastAsia="微软雅黑" w:cs="微软雅黑"/>
          <w:sz w:val="24"/>
          <w:szCs w:val="24"/>
        </w:rPr>
      </w:pPr>
      <w:r>
        <w:rPr>
          <w:rFonts w:hint="eastAsia" w:ascii="微软雅黑" w:hAnsi="微软雅黑" w:eastAsia="微软雅黑" w:cs="微软雅黑"/>
          <w:b w:val="0"/>
          <w:sz w:val="24"/>
          <w:szCs w:val="24"/>
        </w:rPr>
        <w:t>公司承诺在采购活动中遵循以下原则，并将其作为采购决策的基本遵循：</w:t>
      </w:r>
    </w:p>
    <w:p w14:paraId="3528BE5C">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合规优先：</w:t>
      </w:r>
      <w:r>
        <w:rPr>
          <w:rFonts w:hint="eastAsia" w:ascii="微软雅黑" w:hAnsi="微软雅黑" w:eastAsia="微软雅黑" w:cs="微软雅黑"/>
          <w:sz w:val="24"/>
          <w:szCs w:val="24"/>
        </w:rPr>
        <w:t>严格遵守</w:t>
      </w:r>
      <w:r>
        <w:rPr>
          <w:rFonts w:hint="eastAsia" w:ascii="微软雅黑" w:hAnsi="微软雅黑" w:eastAsia="微软雅黑" w:cs="微软雅黑"/>
          <w:sz w:val="24"/>
          <w:szCs w:val="24"/>
          <w:lang w:val="en-US" w:eastAsia="zh-CN"/>
        </w:rPr>
        <w:t>相关</w:t>
      </w:r>
      <w:r>
        <w:rPr>
          <w:rFonts w:hint="eastAsia" w:ascii="微软雅黑" w:hAnsi="微软雅黑" w:eastAsia="微软雅黑" w:cs="微软雅黑"/>
          <w:sz w:val="24"/>
          <w:szCs w:val="24"/>
        </w:rPr>
        <w:t>法律法规、国际公约和行业标准，禁止任何形式的违法违规采购行为。</w:t>
      </w:r>
    </w:p>
    <w:p w14:paraId="4302CCD8">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三重底线：</w:t>
      </w:r>
      <w:r>
        <w:rPr>
          <w:rFonts w:hint="eastAsia" w:ascii="微软雅黑" w:hAnsi="微软雅黑" w:eastAsia="微软雅黑" w:cs="微软雅黑"/>
          <w:sz w:val="24"/>
          <w:szCs w:val="24"/>
        </w:rPr>
        <w:t>统筹考量环境、社会与</w:t>
      </w:r>
      <w:r>
        <w:rPr>
          <w:rFonts w:hint="eastAsia" w:ascii="微软雅黑" w:hAnsi="微软雅黑" w:eastAsia="微软雅黑" w:cs="微软雅黑"/>
          <w:sz w:val="24"/>
          <w:szCs w:val="24"/>
          <w:lang w:val="en-US" w:eastAsia="zh-CN"/>
        </w:rPr>
        <w:t>治理</w:t>
      </w:r>
      <w:r>
        <w:rPr>
          <w:rFonts w:hint="eastAsia" w:ascii="微软雅黑" w:hAnsi="微软雅黑" w:eastAsia="微软雅黑" w:cs="微软雅黑"/>
          <w:sz w:val="24"/>
          <w:szCs w:val="24"/>
        </w:rPr>
        <w:t>三重底线，不单纯以最低报价作为供应商选择的唯一标准。</w:t>
      </w:r>
    </w:p>
    <w:p w14:paraId="5850381C">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尽职调查与风险管理：</w:t>
      </w:r>
      <w:r>
        <w:rPr>
          <w:rFonts w:hint="eastAsia" w:ascii="微软雅黑" w:hAnsi="微软雅黑" w:eastAsia="微软雅黑" w:cs="微软雅黑"/>
          <w:sz w:val="24"/>
          <w:szCs w:val="24"/>
        </w:rPr>
        <w:t>对供应链开展基于风险的可持续性尽职调查，对高风险供应商和品类实施重点管控。</w:t>
      </w:r>
    </w:p>
    <w:p w14:paraId="13ECE6E5">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透明与问责：</w:t>
      </w:r>
      <w:r>
        <w:rPr>
          <w:rFonts w:hint="eastAsia" w:ascii="微软雅黑" w:hAnsi="微软雅黑" w:eastAsia="微软雅黑" w:cs="微软雅黑"/>
          <w:sz w:val="24"/>
          <w:szCs w:val="24"/>
        </w:rPr>
        <w:t>采购决策过程可追溯、可审计，明确各环节责任主体。</w:t>
      </w:r>
    </w:p>
    <w:p w14:paraId="51A21FD1">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积极影响与避免共谋：</w:t>
      </w:r>
      <w:r>
        <w:rPr>
          <w:rFonts w:hint="eastAsia" w:ascii="微软雅黑" w:hAnsi="微软雅黑" w:eastAsia="微软雅黑" w:cs="微软雅黑"/>
          <w:sz w:val="24"/>
          <w:szCs w:val="24"/>
        </w:rPr>
        <w:t>通过采购行为对供应链施加积极影响；对知晓的供应链违法违规情形不漠视、不纵容、不共谋。</w:t>
      </w:r>
    </w:p>
    <w:p w14:paraId="0E889557">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 持续改进：</w:t>
      </w:r>
      <w:r>
        <w:rPr>
          <w:rFonts w:hint="eastAsia" w:ascii="微软雅黑" w:hAnsi="微软雅黑" w:eastAsia="微软雅黑" w:cs="微软雅黑"/>
          <w:sz w:val="24"/>
          <w:szCs w:val="24"/>
        </w:rPr>
        <w:t>建立可量化的目标与指标体系，定期评审并持续提升可持续采购绩效。</w:t>
      </w:r>
    </w:p>
    <w:p w14:paraId="623220A7">
      <w:pPr>
        <w:spacing w:line="324" w:lineRule="auto"/>
        <w:ind w:left="360"/>
        <w:rPr>
          <w:rFonts w:hint="eastAsia" w:ascii="微软雅黑" w:hAnsi="微软雅黑" w:eastAsia="微软雅黑" w:cs="微软雅黑"/>
          <w:sz w:val="24"/>
          <w:szCs w:val="24"/>
        </w:rPr>
      </w:pPr>
    </w:p>
    <w:p w14:paraId="202C0FEE">
      <w:pPr>
        <w:spacing w:line="324" w:lineRule="auto"/>
        <w:ind w:left="360"/>
        <w:rPr>
          <w:rFonts w:hint="eastAsia" w:ascii="微软雅黑" w:hAnsi="微软雅黑" w:eastAsia="微软雅黑" w:cs="微软雅黑"/>
          <w:sz w:val="24"/>
          <w:szCs w:val="24"/>
        </w:rPr>
      </w:pPr>
    </w:p>
    <w:p w14:paraId="079A4C84">
      <w:pPr>
        <w:numPr>
          <w:ilvl w:val="0"/>
          <w:numId w:val="7"/>
        </w:numPr>
        <w:spacing w:line="324" w:lineRule="auto"/>
        <w:ind w:left="-60" w:leftChars="0"/>
        <w:jc w:val="both"/>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行动承诺与目标</w:t>
      </w:r>
    </w:p>
    <w:p w14:paraId="3A11AF73">
      <w:pPr>
        <w:numPr>
          <w:ilvl w:val="0"/>
          <w:numId w:val="0"/>
        </w:numPr>
        <w:spacing w:line="324" w:lineRule="auto"/>
        <w:ind w:firstLine="72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通过本政策的实施，系统性地识别、评估、预防并减缓、消除在我们自身运营及供应链网络中可能产生地任何负面影响，确保业务增长与人类福祉、生态健康协同并进。为此，我们承诺：</w:t>
      </w:r>
    </w:p>
    <w:p w14:paraId="2951CCE9">
      <w:pPr>
        <w:numPr>
          <w:ilvl w:val="0"/>
          <w:numId w:val="0"/>
        </w:numPr>
        <w:spacing w:line="324" w:lineRule="auto"/>
        <w:ind w:leftChars="0"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前瞻性预防：</w:t>
      </w:r>
      <w:r>
        <w:rPr>
          <w:rFonts w:hint="eastAsia" w:ascii="微软雅黑" w:hAnsi="微软雅黑" w:eastAsia="微软雅黑" w:cs="微软雅黑"/>
          <w:sz w:val="24"/>
          <w:szCs w:val="24"/>
          <w:lang w:val="en-US" w:eastAsia="zh-CN"/>
        </w:rPr>
        <w:t>秉持风险导向、全生命周期、合作赋能、透明沟通与持续改进地原则，将可持续采购原则深度融入日常运营与长期战略；</w:t>
      </w:r>
    </w:p>
    <w:p w14:paraId="46202CFF">
      <w:pPr>
        <w:numPr>
          <w:ilvl w:val="0"/>
          <w:numId w:val="0"/>
        </w:numPr>
        <w:spacing w:line="324" w:lineRule="auto"/>
        <w:ind w:leftChars="0"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行为准则约束：</w:t>
      </w:r>
      <w:r>
        <w:rPr>
          <w:rFonts w:hint="eastAsia" w:ascii="微软雅黑" w:hAnsi="微软雅黑" w:eastAsia="微软雅黑" w:cs="微软雅黑"/>
          <w:sz w:val="24"/>
          <w:szCs w:val="24"/>
          <w:lang w:val="en-US" w:eastAsia="zh-CN"/>
        </w:rPr>
        <w:t>制定和发布《赣锋锂业供应商行为准则》，通过合同等方式要求直接和间接合作伙伴遵守，涵盖人权、职业健康与安全、环境保护、商业道德底线与期望</w:t>
      </w:r>
    </w:p>
    <w:p w14:paraId="7AEA50C7">
      <w:pPr>
        <w:numPr>
          <w:ilvl w:val="0"/>
          <w:numId w:val="0"/>
        </w:numPr>
        <w:spacing w:line="324" w:lineRule="auto"/>
        <w:ind w:leftChars="0"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系统性管理：</w:t>
      </w:r>
      <w:r>
        <w:rPr>
          <w:rFonts w:hint="eastAsia" w:ascii="微软雅黑" w:hAnsi="微软雅黑" w:eastAsia="微软雅黑" w:cs="微软雅黑"/>
          <w:sz w:val="24"/>
          <w:szCs w:val="24"/>
          <w:lang w:val="en-US" w:eastAsia="zh-CN"/>
        </w:rPr>
        <w:t>将可持续采购风险纳入公司治理与全面风险管理体系，将相关要求嵌入个项核心业务政策，构建包含审核、合同约束及支持改进在内的供应链验证机制，确保政策有效落地。一旦发生负面案件，供应链合作伙伴应遵守合同约定，立即采取纠正和补救措施；</w:t>
      </w:r>
    </w:p>
    <w:p w14:paraId="1C2671C8">
      <w:pPr>
        <w:numPr>
          <w:ilvl w:val="0"/>
          <w:numId w:val="0"/>
        </w:numPr>
        <w:spacing w:line="324" w:lineRule="auto"/>
        <w:ind w:leftChars="0" w:firstLine="240"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定期审核评审：</w:t>
      </w:r>
      <w:r>
        <w:rPr>
          <w:rFonts w:hint="eastAsia" w:ascii="微软雅黑" w:hAnsi="微软雅黑" w:eastAsia="微软雅黑" w:cs="微软雅黑"/>
          <w:sz w:val="24"/>
          <w:szCs w:val="24"/>
          <w:lang w:val="en-US" w:eastAsia="zh-CN"/>
        </w:rPr>
        <w:t>公司定期组织系统性审核和评审，审查依据可持续采购过程中识别的风险与影响、已采取措施的有效性评估、各方利益相关方的反馈以及法律法规与最佳实践的最新发展。</w:t>
      </w:r>
    </w:p>
    <w:p w14:paraId="6E247551">
      <w:pPr>
        <w:ind w:firstLine="72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我们还承诺通过一系列相关和有影响力的目标，建立更加可持续的供应链。我们的目标包含：</w:t>
      </w:r>
    </w:p>
    <w:p w14:paraId="45BD7346">
      <w:pPr>
        <w:numPr>
          <w:ilvl w:val="0"/>
          <w:numId w:val="0"/>
        </w:numPr>
        <w:ind w:firstLine="240" w:firstLineChars="1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到2030年，</w:t>
      </w:r>
      <w:r>
        <w:rPr>
          <w:rFonts w:hint="eastAsia" w:ascii="微软雅黑" w:hAnsi="微软雅黑" w:eastAsia="微软雅黑" w:cs="微软雅黑"/>
          <w:b/>
          <w:bCs/>
          <w:sz w:val="24"/>
          <w:szCs w:val="24"/>
        </w:rPr>
        <w:t>《供应商行为准则》签署率</w:t>
      </w:r>
      <w:r>
        <w:rPr>
          <w:rFonts w:hint="eastAsia" w:ascii="微软雅黑" w:hAnsi="微软雅黑" w:eastAsia="微软雅黑" w:cs="微软雅黑"/>
          <w:b/>
          <w:bCs/>
          <w:sz w:val="24"/>
          <w:szCs w:val="24"/>
          <w:lang w:val="en-US" w:eastAsia="zh-CN"/>
        </w:rPr>
        <w:t>达100%；</w:t>
      </w:r>
    </w:p>
    <w:p w14:paraId="25BDB9B3">
      <w:pPr>
        <w:numPr>
          <w:ilvl w:val="0"/>
          <w:numId w:val="0"/>
        </w:numPr>
        <w:ind w:firstLine="240" w:firstLineChars="100"/>
        <w:rPr>
          <w:rFonts w:hint="default"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 xml:space="preserve">• </w:t>
      </w:r>
      <w:r>
        <w:rPr>
          <w:rFonts w:hint="eastAsia" w:ascii="微软雅黑" w:hAnsi="微软雅黑" w:eastAsia="微软雅黑" w:cs="微软雅黑"/>
          <w:b/>
          <w:bCs/>
          <w:sz w:val="24"/>
          <w:szCs w:val="24"/>
          <w:lang w:val="en-US" w:eastAsia="zh-CN"/>
        </w:rPr>
        <w:t>到2030年，矿物供应商《负责任矿产承诺书》签署率达100%。</w:t>
      </w:r>
    </w:p>
    <w:p w14:paraId="562858CB">
      <w:pPr>
        <w:numPr>
          <w:ilvl w:val="0"/>
          <w:numId w:val="0"/>
        </w:numPr>
        <w:spacing w:after="200" w:line="276" w:lineRule="auto"/>
        <w:rPr>
          <w:rFonts w:hint="eastAsia" w:ascii="微软雅黑" w:hAnsi="微软雅黑" w:eastAsia="微软雅黑" w:cs="微软雅黑"/>
          <w:b w:val="0"/>
          <w:sz w:val="24"/>
          <w:szCs w:val="24"/>
          <w:lang w:val="en-US" w:eastAsia="zh-CN"/>
        </w:rPr>
      </w:pPr>
    </w:p>
    <w:p w14:paraId="0223DAC4">
      <w:pPr>
        <w:numPr>
          <w:ilvl w:val="0"/>
          <w:numId w:val="0"/>
        </w:numPr>
        <w:spacing w:after="200" w:line="276" w:lineRule="auto"/>
        <w:rPr>
          <w:rFonts w:hint="eastAsia" w:ascii="微软雅黑" w:hAnsi="微软雅黑" w:eastAsia="微软雅黑" w:cs="微软雅黑"/>
          <w:b w:val="0"/>
          <w:sz w:val="24"/>
          <w:szCs w:val="24"/>
          <w:lang w:val="en-US" w:eastAsia="zh-CN"/>
        </w:rPr>
      </w:pPr>
    </w:p>
    <w:p w14:paraId="69C2690E">
      <w:pPr>
        <w:pStyle w:val="3"/>
        <w:rPr>
          <w:rFonts w:hint="eastAsia" w:ascii="微软雅黑" w:hAnsi="微软雅黑" w:eastAsia="微软雅黑" w:cs="微软雅黑"/>
          <w:sz w:val="24"/>
          <w:szCs w:val="24"/>
          <w:lang w:val="en-US" w:eastAsia="zh-CN"/>
        </w:rPr>
      </w:pPr>
      <w:r>
        <w:rPr>
          <w:rFonts w:hint="eastAsia" w:ascii="微软雅黑" w:hAnsi="微软雅黑" w:eastAsia="微软雅黑" w:cs="微软雅黑"/>
          <w:b/>
          <w:color w:val="000000"/>
          <w:sz w:val="24"/>
          <w:szCs w:val="24"/>
        </w:rPr>
        <w:t>第</w:t>
      </w:r>
      <w:r>
        <w:rPr>
          <w:rFonts w:hint="eastAsia" w:ascii="微软雅黑" w:hAnsi="微软雅黑" w:eastAsia="微软雅黑" w:cs="微软雅黑"/>
          <w:b/>
          <w:color w:val="000000"/>
          <w:sz w:val="24"/>
          <w:szCs w:val="24"/>
          <w:lang w:val="en-US" w:eastAsia="zh-CN"/>
        </w:rPr>
        <w:t>四</w:t>
      </w:r>
      <w:r>
        <w:rPr>
          <w:rFonts w:hint="eastAsia" w:ascii="微软雅黑" w:hAnsi="微软雅黑" w:eastAsia="微软雅黑" w:cs="微软雅黑"/>
          <w:b/>
          <w:color w:val="000000"/>
          <w:sz w:val="24"/>
          <w:szCs w:val="24"/>
        </w:rPr>
        <w:t xml:space="preserve">章  </w:t>
      </w:r>
      <w:r>
        <w:rPr>
          <w:rFonts w:hint="eastAsia" w:ascii="微软雅黑" w:hAnsi="微软雅黑" w:eastAsia="微软雅黑" w:cs="微软雅黑"/>
          <w:b/>
          <w:color w:val="000000"/>
          <w:sz w:val="24"/>
          <w:szCs w:val="24"/>
          <w:lang w:val="en-US" w:eastAsia="zh-CN"/>
        </w:rPr>
        <w:t>治理架构</w:t>
      </w:r>
    </w:p>
    <w:p w14:paraId="45D65537">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公司董事会下设可持续发展委员会，负责公司可持续发展规划和监督决策的有效执行，并由ESG部统筹集团各业务板块开展可持续发展相关工作。</w:t>
      </w:r>
    </w:p>
    <w:p w14:paraId="11106893">
      <w:pPr>
        <w:spacing w:line="336" w:lineRule="auto"/>
        <w:ind w:firstLine="440"/>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目前，</w:t>
      </w:r>
      <w:r>
        <w:rPr>
          <w:rFonts w:hint="eastAsia" w:ascii="微软雅黑" w:hAnsi="微软雅黑" w:eastAsia="微软雅黑" w:cs="微软雅黑"/>
          <w:b w:val="0"/>
          <w:sz w:val="24"/>
          <w:szCs w:val="24"/>
        </w:rPr>
        <w:t>公司设立</w:t>
      </w:r>
      <w:r>
        <w:rPr>
          <w:rFonts w:hint="eastAsia" w:ascii="微软雅黑" w:hAnsi="微软雅黑" w:eastAsia="微软雅黑" w:cs="微软雅黑"/>
          <w:b w:val="0"/>
          <w:sz w:val="24"/>
          <w:szCs w:val="24"/>
          <w:lang w:val="en-US" w:eastAsia="zh-CN"/>
        </w:rPr>
        <w:t>可持续供应链管理小组负责整个公司可持续供应链管理，并下设负责任矿产供应链管理小组，负责整个公司负责任矿产供应链管理相关事宜。</w:t>
      </w:r>
    </w:p>
    <w:p w14:paraId="5DB07EE2">
      <w:pPr>
        <w:spacing w:line="336" w:lineRule="auto"/>
        <w:ind w:firstLine="440"/>
        <w:rPr>
          <w:rFonts w:hint="eastAsia" w:ascii="微软雅黑" w:hAnsi="微软雅黑" w:eastAsia="微软雅黑" w:cs="微软雅黑"/>
          <w:sz w:val="24"/>
          <w:szCs w:val="24"/>
          <w:lang w:val="en-US"/>
        </w:rPr>
      </w:pPr>
      <w:r>
        <w:rPr>
          <w:rFonts w:hint="eastAsia" w:ascii="微软雅黑" w:hAnsi="微软雅黑" w:eastAsia="微软雅黑" w:cs="微软雅黑"/>
          <w:b w:val="0"/>
          <w:sz w:val="24"/>
          <w:szCs w:val="24"/>
          <w:lang w:val="en-US" w:eastAsia="zh-CN"/>
        </w:rPr>
        <w:t>可持续供应链管理小组具体治理分工及要求如下：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1963"/>
        <w:gridCol w:w="5632"/>
      </w:tblGrid>
      <w:tr w14:paraId="562D5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tcPr>
          <w:p w14:paraId="78F11BD7">
            <w:pPr>
              <w:spacing w:after="0" w:line="240" w:lineRule="auto"/>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层级</w:t>
            </w:r>
          </w:p>
        </w:tc>
        <w:tc>
          <w:tcPr>
            <w:tcW w:w="1963" w:type="dxa"/>
          </w:tcPr>
          <w:p w14:paraId="5FFD0D81">
            <w:p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sz w:val="24"/>
                <w:szCs w:val="24"/>
              </w:rPr>
              <w:t>岗位</w:t>
            </w:r>
          </w:p>
        </w:tc>
        <w:tc>
          <w:tcPr>
            <w:tcW w:w="5632" w:type="dxa"/>
          </w:tcPr>
          <w:p w14:paraId="244429D9">
            <w:p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sz w:val="24"/>
                <w:szCs w:val="24"/>
              </w:rPr>
              <w:t>主要职责</w:t>
            </w:r>
          </w:p>
        </w:tc>
      </w:tr>
      <w:tr w14:paraId="76DA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tcPr>
          <w:p w14:paraId="1B4766C6">
            <w:pPr>
              <w:spacing w:after="0" w:line="240" w:lineRule="auto"/>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组长</w:t>
            </w:r>
          </w:p>
        </w:tc>
        <w:tc>
          <w:tcPr>
            <w:tcW w:w="1963" w:type="dxa"/>
          </w:tcPr>
          <w:p w14:paraId="49673703">
            <w:pPr>
              <w:spacing w:after="0" w:line="24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分管副总裁</w:t>
            </w:r>
          </w:p>
        </w:tc>
        <w:tc>
          <w:tcPr>
            <w:tcW w:w="5632" w:type="dxa"/>
          </w:tcPr>
          <w:p w14:paraId="4C6FCAC2">
            <w:pPr>
              <w:numPr>
                <w:ilvl w:val="0"/>
                <w:numId w:val="8"/>
              </w:numPr>
              <w:spacing w:after="0" w:line="240" w:lineRule="auto"/>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批准政策与目标；</w:t>
            </w:r>
          </w:p>
          <w:p w14:paraId="633D95AA">
            <w:pPr>
              <w:numPr>
                <w:ilvl w:val="0"/>
                <w:numId w:val="8"/>
              </w:numPr>
              <w:spacing w:after="0" w:line="240" w:lineRule="auto"/>
              <w:ind w:left="0" w:leftChars="0" w:firstLine="0" w:firstLineChars="0"/>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审议重大供应链可持续性风险事项；</w:t>
            </w:r>
          </w:p>
          <w:p w14:paraId="4563FC44">
            <w:pPr>
              <w:numPr>
                <w:ilvl w:val="0"/>
                <w:numId w:val="8"/>
              </w:numPr>
              <w:spacing w:after="0" w:line="240" w:lineRule="auto"/>
              <w:ind w:left="0" w:leftChars="0" w:firstLine="0" w:firstLineChars="0"/>
              <w:rPr>
                <w:rFonts w:hint="eastAsia" w:ascii="微软雅黑" w:hAnsi="微软雅黑" w:eastAsia="微软雅黑" w:cs="微软雅黑"/>
                <w:sz w:val="24"/>
                <w:szCs w:val="24"/>
              </w:rPr>
            </w:pPr>
            <w:r>
              <w:rPr>
                <w:rFonts w:hint="eastAsia" w:ascii="微软雅黑" w:hAnsi="微软雅黑" w:eastAsia="微软雅黑" w:cs="微软雅黑"/>
                <w:b w:val="0"/>
                <w:sz w:val="24"/>
                <w:szCs w:val="24"/>
                <w:lang w:val="en-US" w:eastAsia="zh-CN"/>
              </w:rPr>
              <w:t>批准</w:t>
            </w:r>
            <w:r>
              <w:rPr>
                <w:rFonts w:hint="eastAsia" w:ascii="微软雅黑" w:hAnsi="微软雅黑" w:eastAsia="微软雅黑" w:cs="微软雅黑"/>
                <w:b w:val="0"/>
                <w:sz w:val="24"/>
                <w:szCs w:val="24"/>
              </w:rPr>
              <w:t>年度可持续采购</w:t>
            </w:r>
            <w:r>
              <w:rPr>
                <w:rFonts w:hint="eastAsia" w:ascii="微软雅黑" w:hAnsi="微软雅黑" w:eastAsia="微软雅黑" w:cs="微软雅黑"/>
                <w:b w:val="0"/>
                <w:sz w:val="24"/>
                <w:szCs w:val="24"/>
                <w:lang w:val="en-US" w:eastAsia="zh-CN"/>
              </w:rPr>
              <w:t>相关</w:t>
            </w:r>
            <w:r>
              <w:rPr>
                <w:rFonts w:hint="eastAsia" w:ascii="微软雅黑" w:hAnsi="微软雅黑" w:eastAsia="微软雅黑" w:cs="微软雅黑"/>
                <w:b w:val="0"/>
                <w:sz w:val="24"/>
                <w:szCs w:val="24"/>
              </w:rPr>
              <w:t>报告。</w:t>
            </w:r>
          </w:p>
        </w:tc>
      </w:tr>
      <w:tr w14:paraId="07E3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shd w:val="clear" w:color="auto" w:fill="auto"/>
            <w:vAlign w:val="top"/>
          </w:tcPr>
          <w:p w14:paraId="4795E1F2">
            <w:pPr>
              <w:spacing w:after="0" w:line="240" w:lineRule="auto"/>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小组成员</w:t>
            </w:r>
          </w:p>
        </w:tc>
        <w:tc>
          <w:tcPr>
            <w:tcW w:w="1963" w:type="dxa"/>
            <w:shd w:val="clear" w:color="auto" w:fill="auto"/>
            <w:vAlign w:val="top"/>
          </w:tcPr>
          <w:p w14:paraId="5A331B69">
            <w:pPr>
              <w:spacing w:after="0" w:line="240" w:lineRule="auto"/>
              <w:rPr>
                <w:rFonts w:hint="eastAsia" w:ascii="微软雅黑" w:hAnsi="微软雅黑" w:eastAsia="微软雅黑" w:cs="微软雅黑"/>
                <w:sz w:val="24"/>
                <w:szCs w:val="24"/>
                <w:lang w:val="en-US" w:eastAsia="zh-CN" w:bidi="ar-SA"/>
              </w:rPr>
            </w:pPr>
            <w:r>
              <w:rPr>
                <w:rFonts w:hint="eastAsia" w:ascii="微软雅黑" w:hAnsi="微软雅黑" w:eastAsia="微软雅黑" w:cs="微软雅黑"/>
                <w:b w:val="0"/>
                <w:sz w:val="24"/>
                <w:szCs w:val="24"/>
              </w:rPr>
              <w:t>ESG</w:t>
            </w:r>
            <w:r>
              <w:rPr>
                <w:rFonts w:hint="eastAsia" w:ascii="微软雅黑" w:hAnsi="微软雅黑" w:eastAsia="微软雅黑" w:cs="微软雅黑"/>
                <w:b w:val="0"/>
                <w:sz w:val="24"/>
                <w:szCs w:val="24"/>
                <w:lang w:val="en-US" w:eastAsia="zh-CN"/>
              </w:rPr>
              <w:t>部</w:t>
            </w:r>
          </w:p>
        </w:tc>
        <w:tc>
          <w:tcPr>
            <w:tcW w:w="5632" w:type="dxa"/>
            <w:shd w:val="clear" w:color="auto" w:fill="auto"/>
            <w:vAlign w:val="top"/>
          </w:tcPr>
          <w:p w14:paraId="3DF3B494">
            <w:pPr>
              <w:numPr>
                <w:ilvl w:val="0"/>
                <w:numId w:val="9"/>
              </w:num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建立并统筹供应链ESG体系工作</w:t>
            </w:r>
          </w:p>
          <w:p w14:paraId="5BF9EF9E">
            <w:pPr>
              <w:numPr>
                <w:ilvl w:val="0"/>
                <w:numId w:val="9"/>
              </w:num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val="0"/>
                <w:sz w:val="24"/>
                <w:szCs w:val="24"/>
                <w:lang w:val="en-US" w:eastAsia="zh-CN"/>
              </w:rPr>
              <w:t>研判</w:t>
            </w:r>
            <w:r>
              <w:rPr>
                <w:rFonts w:hint="eastAsia" w:ascii="微软雅黑" w:hAnsi="微软雅黑" w:eastAsia="微软雅黑" w:cs="微软雅黑"/>
                <w:b w:val="0"/>
                <w:sz w:val="24"/>
                <w:szCs w:val="24"/>
              </w:rPr>
              <w:t>供应商 ESG 风险评级；</w:t>
            </w:r>
          </w:p>
          <w:p w14:paraId="741D5154">
            <w:pPr>
              <w:numPr>
                <w:ilvl w:val="0"/>
                <w:numId w:val="9"/>
              </w:numPr>
              <w:spacing w:after="0" w:line="240" w:lineRule="auto"/>
              <w:rPr>
                <w:rFonts w:hint="eastAsia" w:ascii="微软雅黑" w:hAnsi="微软雅黑" w:eastAsia="微软雅黑" w:cs="微软雅黑"/>
                <w:sz w:val="24"/>
                <w:szCs w:val="24"/>
                <w:lang w:val="en-US" w:eastAsia="en-US" w:bidi="ar-SA"/>
              </w:rPr>
            </w:pPr>
            <w:r>
              <w:rPr>
                <w:rFonts w:hint="eastAsia" w:ascii="微软雅黑" w:hAnsi="微软雅黑" w:eastAsia="微软雅黑" w:cs="微软雅黑"/>
                <w:b w:val="0"/>
                <w:sz w:val="24"/>
                <w:szCs w:val="24"/>
              </w:rPr>
              <w:t>编制</w:t>
            </w:r>
            <w:r>
              <w:rPr>
                <w:rFonts w:hint="eastAsia" w:ascii="微软雅黑" w:hAnsi="微软雅黑" w:eastAsia="微软雅黑" w:cs="微软雅黑"/>
                <w:b w:val="0"/>
                <w:sz w:val="24"/>
                <w:szCs w:val="24"/>
                <w:lang w:val="en-US" w:eastAsia="zh-CN"/>
              </w:rPr>
              <w:t>并</w:t>
            </w:r>
            <w:r>
              <w:rPr>
                <w:rFonts w:hint="eastAsia" w:ascii="微软雅黑" w:hAnsi="微软雅黑" w:eastAsia="微软雅黑" w:cs="微软雅黑"/>
                <w:b w:val="0"/>
                <w:sz w:val="24"/>
                <w:szCs w:val="24"/>
              </w:rPr>
              <w:t>披露</w:t>
            </w:r>
            <w:r>
              <w:rPr>
                <w:rFonts w:hint="eastAsia" w:ascii="微软雅黑" w:hAnsi="微软雅黑" w:eastAsia="微软雅黑" w:cs="微软雅黑"/>
                <w:b w:val="0"/>
                <w:sz w:val="24"/>
                <w:szCs w:val="24"/>
                <w:lang w:val="en-US" w:eastAsia="zh-CN"/>
              </w:rPr>
              <w:t>相关</w:t>
            </w:r>
            <w:r>
              <w:rPr>
                <w:rFonts w:hint="eastAsia" w:ascii="微软雅黑" w:hAnsi="微软雅黑" w:eastAsia="微软雅黑" w:cs="微软雅黑"/>
                <w:b w:val="0"/>
                <w:sz w:val="24"/>
                <w:szCs w:val="24"/>
              </w:rPr>
              <w:t>报告。</w:t>
            </w:r>
          </w:p>
        </w:tc>
      </w:tr>
      <w:tr w14:paraId="4E89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tcPr>
          <w:p w14:paraId="26088889">
            <w:pPr>
              <w:spacing w:after="0" w:line="240" w:lineRule="auto"/>
              <w:rPr>
                <w:rFonts w:hint="eastAsia" w:ascii="微软雅黑" w:hAnsi="微软雅黑" w:eastAsia="微软雅黑" w:cs="微软雅黑"/>
                <w:b w:val="0"/>
                <w:sz w:val="24"/>
                <w:szCs w:val="24"/>
                <w:lang w:val="en-US" w:eastAsia="zh-CN"/>
              </w:rPr>
            </w:pPr>
            <w:r>
              <w:rPr>
                <w:rFonts w:hint="eastAsia" w:ascii="微软雅黑" w:hAnsi="微软雅黑" w:eastAsia="微软雅黑" w:cs="微软雅黑"/>
                <w:b w:val="0"/>
                <w:sz w:val="24"/>
                <w:szCs w:val="24"/>
                <w:lang w:val="en-US" w:eastAsia="zh-CN"/>
              </w:rPr>
              <w:t>小组成员</w:t>
            </w:r>
          </w:p>
        </w:tc>
        <w:tc>
          <w:tcPr>
            <w:tcW w:w="1963" w:type="dxa"/>
          </w:tcPr>
          <w:p w14:paraId="59C9C240">
            <w:pPr>
              <w:spacing w:after="0" w:line="24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各业务单元</w:t>
            </w:r>
          </w:p>
        </w:tc>
        <w:tc>
          <w:tcPr>
            <w:tcW w:w="5632" w:type="dxa"/>
          </w:tcPr>
          <w:p w14:paraId="05C4166D">
            <w:pPr>
              <w:numPr>
                <w:ilvl w:val="0"/>
                <w:numId w:val="10"/>
              </w:num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val="0"/>
                <w:sz w:val="24"/>
                <w:szCs w:val="24"/>
              </w:rPr>
              <w:t>将可持续性要求嵌入采购全流程；</w:t>
            </w:r>
          </w:p>
          <w:p w14:paraId="100A3D94">
            <w:pPr>
              <w:numPr>
                <w:ilvl w:val="0"/>
                <w:numId w:val="10"/>
              </w:num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val="0"/>
                <w:sz w:val="24"/>
                <w:szCs w:val="24"/>
              </w:rPr>
              <w:t>组织供应商准入评估、分级、审计与绩效评价；</w:t>
            </w:r>
          </w:p>
          <w:p w14:paraId="23317469">
            <w:pPr>
              <w:numPr>
                <w:ilvl w:val="0"/>
                <w:numId w:val="10"/>
              </w:num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b w:val="0"/>
                <w:sz w:val="24"/>
                <w:szCs w:val="24"/>
              </w:rPr>
              <w:t>推动供应商改进与退出管理。</w:t>
            </w:r>
          </w:p>
        </w:tc>
      </w:tr>
      <w:tr w14:paraId="4D1C4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tcPr>
          <w:p w14:paraId="6D362A5F">
            <w:pPr>
              <w:spacing w:after="0" w:line="24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小组成员</w:t>
            </w:r>
          </w:p>
        </w:tc>
        <w:tc>
          <w:tcPr>
            <w:tcW w:w="1963" w:type="dxa"/>
          </w:tcPr>
          <w:p w14:paraId="1CFE290F">
            <w:pPr>
              <w:spacing w:after="0"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其他部门</w:t>
            </w:r>
          </w:p>
        </w:tc>
        <w:tc>
          <w:tcPr>
            <w:tcW w:w="5632" w:type="dxa"/>
          </w:tcPr>
          <w:p w14:paraId="0128335A">
            <w:pPr>
              <w:spacing w:after="0" w:line="240" w:lineRule="auto"/>
              <w:rPr>
                <w:rFonts w:hint="eastAsia"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配合ESG部开展供应链ESG体系工作</w:t>
            </w:r>
          </w:p>
        </w:tc>
      </w:tr>
    </w:tbl>
    <w:p w14:paraId="5F2217D9">
      <w:pPr>
        <w:pStyle w:val="3"/>
        <w:ind w:firstLine="720" w:firstLineChars="0"/>
        <w:rPr>
          <w:rFonts w:hint="eastAsia" w:ascii="微软雅黑" w:hAnsi="微软雅黑" w:eastAsia="微软雅黑" w:cs="微软雅黑"/>
          <w:b w:val="0"/>
          <w:bCs w:val="0"/>
          <w:color w:val="000000"/>
          <w:sz w:val="24"/>
          <w:szCs w:val="24"/>
          <w:lang w:val="en-US" w:eastAsia="zh-CN"/>
        </w:rPr>
      </w:pPr>
      <w:r>
        <w:rPr>
          <w:rFonts w:hint="eastAsia" w:ascii="微软雅黑" w:hAnsi="微软雅黑" w:eastAsia="微软雅黑" w:cs="微软雅黑"/>
          <w:b w:val="0"/>
          <w:bCs w:val="0"/>
          <w:color w:val="000000"/>
          <w:sz w:val="24"/>
          <w:szCs w:val="24"/>
          <w:lang w:val="en-US" w:eastAsia="zh-CN"/>
        </w:rPr>
        <w:t>负责任矿产供应链管理小组治理分工及要求见《负责任矿产供应链政策》《负责任矿产供应链管理控制程序》。</w:t>
      </w:r>
      <w:r>
        <w:rPr>
          <w:rStyle w:val="137"/>
          <w:rFonts w:hint="eastAsia" w:ascii="微软雅黑" w:hAnsi="微软雅黑" w:eastAsia="微软雅黑" w:cs="微软雅黑"/>
          <w:b w:val="0"/>
          <w:bCs w:val="0"/>
          <w:color w:val="000000"/>
          <w:sz w:val="24"/>
          <w:szCs w:val="24"/>
          <w:lang w:val="en-US" w:eastAsia="zh-CN"/>
        </w:rPr>
        <w:footnoteReference w:id="0"/>
      </w:r>
    </w:p>
    <w:p w14:paraId="147F9D6B">
      <w:pPr>
        <w:rPr>
          <w:rFonts w:hint="eastAsia" w:ascii="微软雅黑" w:hAnsi="微软雅黑" w:eastAsia="微软雅黑" w:cs="微软雅黑"/>
          <w:b w:val="0"/>
          <w:bCs w:val="0"/>
          <w:color w:val="000000"/>
          <w:sz w:val="24"/>
          <w:szCs w:val="24"/>
          <w:lang w:val="en-US" w:eastAsia="zh-CN"/>
        </w:rPr>
      </w:pPr>
    </w:p>
    <w:p w14:paraId="3E4B563B">
      <w:pPr>
        <w:rPr>
          <w:rFonts w:hint="eastAsia" w:ascii="微软雅黑" w:hAnsi="微软雅黑" w:eastAsia="微软雅黑" w:cs="微软雅黑"/>
          <w:b w:val="0"/>
          <w:bCs w:val="0"/>
          <w:color w:val="000000"/>
          <w:sz w:val="24"/>
          <w:szCs w:val="24"/>
          <w:lang w:val="en-US" w:eastAsia="zh-CN"/>
        </w:rPr>
      </w:pPr>
    </w:p>
    <w:p w14:paraId="05FC991B">
      <w:pPr>
        <w:rPr>
          <w:rFonts w:hint="eastAsia" w:ascii="微软雅黑" w:hAnsi="微软雅黑" w:eastAsia="微软雅黑" w:cs="微软雅黑"/>
          <w:b w:val="0"/>
          <w:bCs w:val="0"/>
          <w:color w:val="000000"/>
          <w:sz w:val="24"/>
          <w:szCs w:val="24"/>
          <w:lang w:val="en-US" w:eastAsia="zh-CN"/>
        </w:rPr>
      </w:pPr>
    </w:p>
    <w:p w14:paraId="5C971CC0">
      <w:pPr>
        <w:pStyle w:val="3"/>
        <w:numPr>
          <w:ilvl w:val="0"/>
          <w:numId w:val="0"/>
        </w:numP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 xml:space="preserve">第五章 </w:t>
      </w:r>
      <w:r>
        <w:rPr>
          <w:rFonts w:hint="eastAsia" w:ascii="微软雅黑" w:hAnsi="微软雅黑" w:eastAsia="微软雅黑" w:cs="微软雅黑"/>
          <w:b/>
          <w:color w:val="000000"/>
          <w:sz w:val="24"/>
          <w:szCs w:val="24"/>
        </w:rPr>
        <w:t>可持续</w:t>
      </w:r>
      <w:r>
        <w:rPr>
          <w:rFonts w:hint="eastAsia" w:ascii="微软雅黑" w:hAnsi="微软雅黑" w:eastAsia="微软雅黑" w:cs="微软雅黑"/>
          <w:b/>
          <w:color w:val="000000"/>
          <w:sz w:val="24"/>
          <w:szCs w:val="24"/>
          <w:lang w:val="en-US" w:eastAsia="zh-CN"/>
        </w:rPr>
        <w:t>供应链管理体系</w:t>
      </w:r>
    </w:p>
    <w:p w14:paraId="5C1DB4EC">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5.1 步骤一：建立强大的企业风险管理体系</w:t>
      </w:r>
    </w:p>
    <w:p w14:paraId="1321A176">
      <w:pPr>
        <w:spacing w:line="324" w:lineRule="auto"/>
        <w:ind w:firstLine="72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公司</w:t>
      </w:r>
      <w:r>
        <w:rPr>
          <w:rFonts w:hint="eastAsia" w:ascii="微软雅黑" w:hAnsi="微软雅黑" w:eastAsia="微软雅黑" w:cs="微软雅黑"/>
          <w:sz w:val="24"/>
          <w:szCs w:val="24"/>
        </w:rPr>
        <w:t>制定《</w:t>
      </w:r>
      <w:r>
        <w:rPr>
          <w:rFonts w:hint="eastAsia" w:ascii="微软雅黑" w:hAnsi="微软雅黑" w:eastAsia="微软雅黑" w:cs="微软雅黑"/>
          <w:sz w:val="24"/>
          <w:szCs w:val="24"/>
          <w:lang w:val="en-US" w:eastAsia="zh-CN"/>
        </w:rPr>
        <w:t>可持续采购</w:t>
      </w:r>
      <w:r>
        <w:rPr>
          <w:rFonts w:hint="eastAsia" w:ascii="微软雅黑" w:hAnsi="微软雅黑" w:eastAsia="微软雅黑" w:cs="微软雅黑"/>
          <w:sz w:val="24"/>
          <w:szCs w:val="24"/>
        </w:rPr>
        <w:t>政策》，明确</w:t>
      </w:r>
      <w:r>
        <w:rPr>
          <w:rFonts w:hint="eastAsia" w:ascii="微软雅黑" w:hAnsi="微软雅黑" w:eastAsia="微软雅黑" w:cs="微软雅黑"/>
          <w:sz w:val="24"/>
          <w:szCs w:val="24"/>
          <w:lang w:val="en-US" w:eastAsia="zh-CN"/>
        </w:rPr>
        <w:t>可持续供应链</w:t>
      </w:r>
      <w:r>
        <w:rPr>
          <w:rFonts w:hint="eastAsia" w:ascii="微软雅黑" w:hAnsi="微软雅黑" w:eastAsia="微软雅黑" w:cs="微软雅黑"/>
          <w:sz w:val="24"/>
          <w:szCs w:val="24"/>
        </w:rPr>
        <w:t>管理遵循的标准，向供应商及公众进行清晰传达</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本</w:t>
      </w:r>
      <w:r>
        <w:rPr>
          <w:rFonts w:hint="eastAsia" w:ascii="微软雅黑" w:hAnsi="微软雅黑" w:eastAsia="微软雅黑" w:cs="微软雅黑"/>
          <w:sz w:val="24"/>
          <w:szCs w:val="24"/>
        </w:rPr>
        <w:t>政策与《</w:t>
      </w:r>
      <w:r>
        <w:rPr>
          <w:rFonts w:hint="eastAsia" w:ascii="微软雅黑" w:hAnsi="微软雅黑" w:eastAsia="微软雅黑" w:cs="微软雅黑"/>
          <w:sz w:val="24"/>
          <w:szCs w:val="24"/>
          <w:lang w:val="en-US" w:eastAsia="zh-CN"/>
        </w:rPr>
        <w:t>赣锋锂业</w:t>
      </w:r>
      <w:r>
        <w:rPr>
          <w:rFonts w:hint="eastAsia" w:ascii="微软雅黑" w:hAnsi="微软雅黑" w:eastAsia="微软雅黑" w:cs="微软雅黑"/>
          <w:sz w:val="24"/>
          <w:szCs w:val="24"/>
        </w:rPr>
        <w:t>供应商行为准则》保持一致，并作为采购合同附件要求供应商签署执行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在可能的情况下协助供应商ESG能力建设；</w:t>
      </w:r>
    </w:p>
    <w:p w14:paraId="61CD3BDF">
      <w:pPr>
        <w:spacing w:line="324" w:lineRule="auto"/>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公司</w:t>
      </w:r>
      <w:r>
        <w:rPr>
          <w:rFonts w:hint="eastAsia" w:ascii="微软雅黑" w:hAnsi="微软雅黑" w:eastAsia="微软雅黑" w:cs="微软雅黑"/>
          <w:sz w:val="24"/>
          <w:szCs w:val="24"/>
        </w:rPr>
        <w:t>每年度对</w:t>
      </w:r>
      <w:r>
        <w:rPr>
          <w:rFonts w:hint="eastAsia" w:ascii="微软雅黑" w:hAnsi="微软雅黑" w:eastAsia="微软雅黑" w:cs="微软雅黑"/>
          <w:sz w:val="24"/>
          <w:szCs w:val="24"/>
          <w:lang w:val="en-US" w:eastAsia="zh-CN"/>
        </w:rPr>
        <w:t>可持续供应链</w:t>
      </w:r>
      <w:r>
        <w:rPr>
          <w:rFonts w:hint="eastAsia" w:ascii="微软雅黑" w:hAnsi="微软雅黑" w:eastAsia="微软雅黑" w:cs="微软雅黑"/>
          <w:sz w:val="24"/>
          <w:szCs w:val="24"/>
        </w:rPr>
        <w:t>管理小组及相关供应商定期开展供应链</w:t>
      </w:r>
      <w:r>
        <w:rPr>
          <w:rFonts w:hint="eastAsia" w:ascii="微软雅黑" w:hAnsi="微软雅黑" w:eastAsia="微软雅黑" w:cs="微软雅黑"/>
          <w:sz w:val="24"/>
          <w:szCs w:val="24"/>
          <w:lang w:val="en-US" w:eastAsia="zh-CN"/>
        </w:rPr>
        <w:t>ESG</w:t>
      </w:r>
      <w:r>
        <w:rPr>
          <w:rFonts w:hint="eastAsia" w:ascii="微软雅黑" w:hAnsi="微软雅黑" w:eastAsia="微软雅黑" w:cs="微软雅黑"/>
          <w:sz w:val="24"/>
          <w:szCs w:val="24"/>
        </w:rPr>
        <w:t>管理能力提升培训，培训记录存档。</w:t>
      </w:r>
    </w:p>
    <w:p w14:paraId="68987E62">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5.2 步骤二：识别和评估供应链中的风险</w:t>
      </w:r>
    </w:p>
    <w:p w14:paraId="26E4C862">
      <w:pPr>
        <w:spacing w:line="324" w:lineRule="auto"/>
        <w:ind w:firstLine="720" w:firstLineChars="0"/>
        <w:rPr>
          <w:rFonts w:hint="eastAsia" w:ascii="微软雅黑" w:hAnsi="微软雅黑" w:eastAsia="微软雅黑" w:cs="微软雅黑"/>
          <w:sz w:val="24"/>
          <w:szCs w:val="24"/>
          <w:lang w:eastAsia="zh-CN"/>
        </w:rPr>
      </w:pPr>
      <w:r>
        <w:rPr>
          <w:rFonts w:hint="eastAsia" w:ascii="微软雅黑" w:hAnsi="微软雅黑" w:eastAsia="微软雅黑" w:cs="微软雅黑"/>
          <w:b w:val="0"/>
          <w:sz w:val="24"/>
          <w:szCs w:val="24"/>
        </w:rPr>
        <w:t>公司</w:t>
      </w:r>
      <w:r>
        <w:rPr>
          <w:rFonts w:hint="eastAsia" w:ascii="微软雅黑" w:hAnsi="微软雅黑" w:eastAsia="微软雅黑" w:cs="微软雅黑"/>
          <w:b w:val="0"/>
          <w:sz w:val="24"/>
          <w:szCs w:val="24"/>
          <w:lang w:val="en-US" w:eastAsia="zh-CN"/>
        </w:rPr>
        <w:t>按照《赣锋锂业供应商行为准则》所涵盖</w:t>
      </w:r>
      <w:r>
        <w:rPr>
          <w:rFonts w:hint="eastAsia" w:ascii="微软雅黑" w:hAnsi="微软雅黑" w:eastAsia="微软雅黑" w:cs="微软雅黑"/>
          <w:b w:val="0"/>
          <w:sz w:val="24"/>
          <w:szCs w:val="24"/>
        </w:rPr>
        <w:t>维度</w:t>
      </w:r>
      <w:r>
        <w:rPr>
          <w:rFonts w:hint="eastAsia" w:ascii="微软雅黑" w:hAnsi="微软雅黑" w:eastAsia="微软雅黑" w:cs="微软雅黑"/>
          <w:b w:val="0"/>
          <w:sz w:val="24"/>
          <w:szCs w:val="24"/>
          <w:lang w:val="en-US" w:eastAsia="zh-CN"/>
        </w:rPr>
        <w:t>内容</w:t>
      </w:r>
      <w:r>
        <w:rPr>
          <w:rFonts w:hint="eastAsia" w:ascii="微软雅黑" w:hAnsi="微软雅黑" w:eastAsia="微软雅黑" w:cs="微软雅黑"/>
          <w:b w:val="0"/>
          <w:sz w:val="24"/>
          <w:szCs w:val="24"/>
        </w:rPr>
        <w:t>对供应商实施 ESG 风险</w:t>
      </w:r>
      <w:r>
        <w:rPr>
          <w:rFonts w:hint="eastAsia" w:ascii="微软雅黑" w:hAnsi="微软雅黑" w:eastAsia="微软雅黑" w:cs="微软雅黑"/>
          <w:b w:val="0"/>
          <w:sz w:val="24"/>
          <w:szCs w:val="24"/>
          <w:lang w:val="en-US" w:eastAsia="zh-CN"/>
        </w:rPr>
        <w:t>识别与评估</w:t>
      </w:r>
      <w:r>
        <w:rPr>
          <w:rFonts w:hint="eastAsia" w:ascii="微软雅黑" w:hAnsi="微软雅黑" w:eastAsia="微软雅黑" w:cs="微软雅黑"/>
          <w:b w:val="0"/>
          <w:sz w:val="24"/>
          <w:szCs w:val="24"/>
          <w:lang w:eastAsia="zh-CN"/>
        </w:rPr>
        <w:t>，</w:t>
      </w:r>
      <w:r>
        <w:rPr>
          <w:rFonts w:hint="eastAsia" w:ascii="微软雅黑" w:hAnsi="微软雅黑" w:eastAsia="微软雅黑" w:cs="微软雅黑"/>
          <w:b w:val="0"/>
          <w:sz w:val="24"/>
          <w:szCs w:val="24"/>
        </w:rPr>
        <w:t>风险等级分为高、中、低三级</w:t>
      </w:r>
      <w:r>
        <w:rPr>
          <w:rFonts w:hint="eastAsia" w:ascii="微软雅黑" w:hAnsi="微软雅黑" w:eastAsia="微软雅黑" w:cs="微软雅黑"/>
          <w:b w:val="0"/>
          <w:sz w:val="24"/>
          <w:szCs w:val="24"/>
          <w:lang w:eastAsia="zh-CN"/>
        </w:rPr>
        <w:t>；</w:t>
      </w:r>
    </w:p>
    <w:p w14:paraId="26307BC8">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5.3 步骤三：针对已识别的风险制定并实施应对策略</w:t>
      </w:r>
    </w:p>
    <w:p w14:paraId="644B2827">
      <w:pPr>
        <w:spacing w:line="324" w:lineRule="auto"/>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公司与供应商共同</w:t>
      </w:r>
      <w:r>
        <w:rPr>
          <w:rFonts w:hint="eastAsia" w:ascii="微软雅黑" w:hAnsi="微软雅黑" w:eastAsia="微软雅黑" w:cs="微软雅黑"/>
          <w:sz w:val="24"/>
          <w:szCs w:val="24"/>
        </w:rPr>
        <w:t>设计并实施风险管理计划，按风险程度采取分级应对：</w:t>
      </w:r>
    </w:p>
    <w:p w14:paraId="39D0B8C4">
      <w:pPr>
        <w:numPr>
          <w:ilvl w:val="0"/>
          <w:numId w:val="11"/>
        </w:num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在降低风险的过程中继续交易（须有风险缓解计划并监督执行）；</w:t>
      </w:r>
    </w:p>
    <w:p w14:paraId="2BC9EC16">
      <w:pPr>
        <w:numPr>
          <w:ilvl w:val="0"/>
          <w:numId w:val="11"/>
        </w:num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在降低风险的过程中暂时中止交易；</w:t>
      </w:r>
    </w:p>
    <w:p w14:paraId="3B16215D">
      <w:pPr>
        <w:numPr>
          <w:ilvl w:val="0"/>
          <w:numId w:val="11"/>
        </w:num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降低风险努力失败、无法降低或风险不可接受时，终止与供应商的关系；</w:t>
      </w:r>
    </w:p>
    <w:p w14:paraId="3EEE7296">
      <w:pPr>
        <w:spacing w:line="324" w:lineRule="auto"/>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监测与追踪风险降低措施的绩效，保存风险降低过程中与供应商或利益相关方的沟通记录，并向公司管理层汇报；</w:t>
      </w:r>
    </w:p>
    <w:p w14:paraId="0C936250">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5.4 步骤四：对供应链中已识别的关键环节开展独立第三方评估与审核</w:t>
      </w:r>
    </w:p>
    <w:p w14:paraId="0BB945EC">
      <w:pPr>
        <w:spacing w:line="324" w:lineRule="auto"/>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公司接受第二方或第三方独立审核</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审核可由客户实施，或由公司/客户委托 具备资质的机构执行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w:t>
      </w:r>
      <w:r>
        <w:rPr>
          <w:rFonts w:hint="eastAsia" w:ascii="微软雅黑" w:hAnsi="微软雅黑" w:eastAsia="微软雅黑" w:cs="微软雅黑"/>
          <w:sz w:val="24"/>
          <w:szCs w:val="24"/>
        </w:rPr>
        <w:t>将</w:t>
      </w:r>
      <w:r>
        <w:rPr>
          <w:rFonts w:hint="eastAsia" w:ascii="微软雅黑" w:hAnsi="微软雅黑" w:eastAsia="微软雅黑" w:cs="微软雅黑"/>
          <w:sz w:val="24"/>
          <w:szCs w:val="24"/>
          <w:lang w:val="en-US" w:eastAsia="zh-CN"/>
        </w:rPr>
        <w:t>本政策</w:t>
      </w:r>
      <w:r>
        <w:rPr>
          <w:rFonts w:hint="eastAsia" w:ascii="微软雅黑" w:hAnsi="微软雅黑" w:eastAsia="微软雅黑" w:cs="微软雅黑"/>
          <w:sz w:val="24"/>
          <w:szCs w:val="24"/>
        </w:rPr>
        <w:t>纳入ISO 14001、ISO 45001管理体系，每年至少开展一次内部审核；</w:t>
      </w:r>
    </w:p>
    <w:p w14:paraId="409C8CA1">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5.5 步骤五：对供应链风险管理过程和结果进行报告</w:t>
      </w:r>
    </w:p>
    <w:p w14:paraId="34314D24">
      <w:pPr>
        <w:spacing w:line="324" w:lineRule="auto"/>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公开报告</w:t>
      </w:r>
      <w:r>
        <w:rPr>
          <w:rFonts w:hint="eastAsia" w:ascii="微软雅黑" w:hAnsi="微软雅黑" w:eastAsia="微软雅黑" w:cs="微软雅黑"/>
          <w:sz w:val="24"/>
          <w:szCs w:val="24"/>
          <w:lang w:val="en-US" w:eastAsia="zh-CN"/>
        </w:rPr>
        <w:t>可持续</w:t>
      </w:r>
      <w:r>
        <w:rPr>
          <w:rFonts w:hint="eastAsia" w:ascii="微软雅黑" w:hAnsi="微软雅黑" w:eastAsia="微软雅黑" w:cs="微软雅黑"/>
          <w:sz w:val="24"/>
          <w:szCs w:val="24"/>
        </w:rPr>
        <w:t>供应链管理的政策与实践，包括已识别的风险及针对降低风险已采取的措施</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w:t>
      </w:r>
      <w:r>
        <w:rPr>
          <w:rFonts w:hint="eastAsia" w:ascii="微软雅黑" w:hAnsi="微软雅黑" w:eastAsia="微软雅黑" w:cs="微软雅黑"/>
          <w:sz w:val="24"/>
          <w:szCs w:val="24"/>
        </w:rPr>
        <w:t>将</w:t>
      </w:r>
      <w:r>
        <w:rPr>
          <w:rFonts w:hint="eastAsia" w:ascii="微软雅黑" w:hAnsi="微软雅黑" w:eastAsia="微软雅黑" w:cs="微软雅黑"/>
          <w:sz w:val="24"/>
          <w:szCs w:val="24"/>
          <w:lang w:val="en-US" w:eastAsia="zh-CN"/>
        </w:rPr>
        <w:t>相关</w:t>
      </w:r>
      <w:r>
        <w:rPr>
          <w:rFonts w:hint="eastAsia" w:ascii="微软雅黑" w:hAnsi="微软雅黑" w:eastAsia="微软雅黑" w:cs="微软雅黑"/>
          <w:sz w:val="24"/>
          <w:szCs w:val="24"/>
        </w:rPr>
        <w:t>信息纳入</w:t>
      </w:r>
      <w:r>
        <w:rPr>
          <w:rFonts w:hint="eastAsia" w:ascii="微软雅黑" w:hAnsi="微软雅黑" w:eastAsia="微软雅黑" w:cs="微软雅黑"/>
          <w:sz w:val="24"/>
          <w:szCs w:val="24"/>
          <w:lang w:val="en-US" w:eastAsia="zh-CN"/>
        </w:rPr>
        <w:t>年度</w:t>
      </w:r>
      <w:r>
        <w:rPr>
          <w:rFonts w:hint="eastAsia" w:ascii="微软雅黑" w:hAnsi="微软雅黑" w:eastAsia="微软雅黑" w:cs="微软雅黑"/>
          <w:sz w:val="24"/>
          <w:szCs w:val="24"/>
        </w:rPr>
        <w:t>ESG 报告</w:t>
      </w:r>
      <w:r>
        <w:rPr>
          <w:rFonts w:hint="eastAsia" w:ascii="微软雅黑" w:hAnsi="微软雅黑" w:eastAsia="微软雅黑" w:cs="微软雅黑"/>
          <w:sz w:val="24"/>
          <w:szCs w:val="24"/>
          <w:lang w:val="en-US" w:eastAsia="zh-CN"/>
        </w:rPr>
        <w:t>/年度负责任矿产供应链尽责管理报告</w:t>
      </w:r>
      <w:r>
        <w:rPr>
          <w:rFonts w:hint="eastAsia" w:ascii="微软雅黑" w:hAnsi="微软雅黑" w:eastAsia="微软雅黑" w:cs="微软雅黑"/>
          <w:sz w:val="24"/>
          <w:szCs w:val="24"/>
        </w:rPr>
        <w:t>对外披露；</w:t>
      </w:r>
    </w:p>
    <w:p w14:paraId="2C0AED14">
      <w:pPr>
        <w:pStyle w:val="4"/>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5.6 步骤六：适时提供条件或合作开展补救</w:t>
      </w:r>
    </w:p>
    <w:p w14:paraId="681DF0B0">
      <w:pPr>
        <w:spacing w:line="324" w:lineRule="auto"/>
        <w:ind w:firstLine="720" w:firstLineChars="0"/>
        <w:rPr>
          <w:rFonts w:hint="eastAsia" w:ascii="微软雅黑" w:hAnsi="微软雅黑" w:eastAsia="微软雅黑" w:cs="微软雅黑"/>
          <w:b w:val="0"/>
          <w:sz w:val="24"/>
          <w:szCs w:val="24"/>
        </w:rPr>
      </w:pPr>
      <w:r>
        <w:rPr>
          <w:rFonts w:hint="eastAsia" w:ascii="微软雅黑" w:hAnsi="微软雅黑" w:eastAsia="微软雅黑" w:cs="微软雅黑"/>
          <w:sz w:val="24"/>
          <w:szCs w:val="24"/>
        </w:rPr>
        <w:t>公司在识别到自身已造成或助长实际不利影响时，将通过提供条件或开展合作来消除这些影响；</w:t>
      </w:r>
    </w:p>
    <w:p w14:paraId="00823CAA">
      <w:pPr>
        <w:pStyle w:val="3"/>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第</w:t>
      </w:r>
      <w:r>
        <w:rPr>
          <w:rFonts w:hint="eastAsia" w:ascii="微软雅黑" w:hAnsi="微软雅黑" w:eastAsia="微软雅黑" w:cs="微软雅黑"/>
          <w:b/>
          <w:color w:val="000000"/>
          <w:sz w:val="24"/>
          <w:szCs w:val="24"/>
          <w:lang w:val="en-US" w:eastAsia="zh-CN"/>
        </w:rPr>
        <w:t>六</w:t>
      </w:r>
      <w:r>
        <w:rPr>
          <w:rFonts w:hint="eastAsia" w:ascii="微软雅黑" w:hAnsi="微软雅黑" w:eastAsia="微软雅黑" w:cs="微软雅黑"/>
          <w:b/>
          <w:color w:val="000000"/>
          <w:sz w:val="24"/>
          <w:szCs w:val="24"/>
        </w:rPr>
        <w:t>章  申诉与利益相关方沟通</w:t>
      </w:r>
    </w:p>
    <w:p w14:paraId="56644CF8">
      <w:pPr>
        <w:spacing w:line="336" w:lineRule="auto"/>
        <w:ind w:firstLine="440"/>
        <w:rPr>
          <w:rFonts w:hint="eastAsia" w:ascii="微软雅黑" w:hAnsi="微软雅黑" w:eastAsia="微软雅黑" w:cs="微软雅黑"/>
          <w:sz w:val="24"/>
          <w:szCs w:val="24"/>
        </w:rPr>
      </w:pPr>
      <w:r>
        <w:rPr>
          <w:rFonts w:hint="eastAsia" w:ascii="微软雅黑" w:hAnsi="微软雅黑" w:eastAsia="微软雅黑" w:cs="微软雅黑"/>
          <w:b w:val="0"/>
          <w:sz w:val="24"/>
          <w:szCs w:val="24"/>
        </w:rPr>
        <w:t>公司建立供应链可持续性申诉与举报渠道，对举报人实施保密与反报复保护。涉及供应商员工的申诉，公司应及时核实并反馈处理结果。公司每年通过 ESG 报告等渠道向客户、投资者等利益相关方披露可持续采购政策、目标与绩效。</w:t>
      </w:r>
    </w:p>
    <w:p w14:paraId="11F5CF32">
      <w:pPr>
        <w:pStyle w:val="3"/>
        <w:rPr>
          <w:rFonts w:hint="eastAsia" w:ascii="微软雅黑" w:hAnsi="微软雅黑" w:eastAsia="微软雅黑" w:cs="微软雅黑"/>
          <w:sz w:val="24"/>
          <w:szCs w:val="24"/>
        </w:rPr>
      </w:pPr>
      <w:r>
        <w:rPr>
          <w:rFonts w:hint="eastAsia" w:ascii="微软雅黑" w:hAnsi="微软雅黑" w:eastAsia="微软雅黑" w:cs="微软雅黑"/>
          <w:b/>
          <w:color w:val="000000"/>
          <w:sz w:val="24"/>
          <w:szCs w:val="24"/>
        </w:rPr>
        <w:t>第</w:t>
      </w:r>
      <w:r>
        <w:rPr>
          <w:rFonts w:hint="eastAsia" w:ascii="微软雅黑" w:hAnsi="微软雅黑" w:eastAsia="微软雅黑" w:cs="微软雅黑"/>
          <w:b/>
          <w:color w:val="000000"/>
          <w:sz w:val="24"/>
          <w:szCs w:val="24"/>
          <w:lang w:val="en-US" w:eastAsia="zh-CN"/>
        </w:rPr>
        <w:t>七</w:t>
      </w:r>
      <w:r>
        <w:rPr>
          <w:rFonts w:hint="eastAsia" w:ascii="微软雅黑" w:hAnsi="微软雅黑" w:eastAsia="微软雅黑" w:cs="微软雅黑"/>
          <w:b/>
          <w:color w:val="000000"/>
          <w:sz w:val="24"/>
          <w:szCs w:val="24"/>
        </w:rPr>
        <w:t>章  附则</w:t>
      </w:r>
    </w:p>
    <w:p w14:paraId="21800530">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1. 本政策由</w:t>
      </w:r>
      <w:r>
        <w:rPr>
          <w:rFonts w:hint="eastAsia" w:ascii="微软雅黑" w:hAnsi="微软雅黑" w:eastAsia="微软雅黑" w:cs="微软雅黑"/>
          <w:sz w:val="24"/>
          <w:szCs w:val="24"/>
          <w:lang w:val="en-US" w:eastAsia="zh-CN"/>
        </w:rPr>
        <w:t>ESG</w:t>
      </w:r>
      <w:r>
        <w:rPr>
          <w:rFonts w:hint="eastAsia" w:ascii="微软雅黑" w:hAnsi="微软雅黑" w:eastAsia="微软雅黑" w:cs="微软雅黑"/>
          <w:sz w:val="24"/>
          <w:szCs w:val="24"/>
        </w:rPr>
        <w:t>部负责解释和修订，修订须经</w:t>
      </w:r>
      <w:r>
        <w:rPr>
          <w:rFonts w:hint="eastAsia" w:ascii="微软雅黑" w:hAnsi="微软雅黑" w:eastAsia="微软雅黑" w:cs="微软雅黑"/>
          <w:sz w:val="24"/>
          <w:szCs w:val="24"/>
          <w:lang w:val="en-US" w:eastAsia="zh-CN"/>
        </w:rPr>
        <w:t>可持续供应链管理小组组长</w:t>
      </w:r>
      <w:r>
        <w:rPr>
          <w:rFonts w:hint="eastAsia" w:ascii="微软雅黑" w:hAnsi="微软雅黑" w:eastAsia="微软雅黑" w:cs="微软雅黑"/>
          <w:sz w:val="24"/>
          <w:szCs w:val="24"/>
        </w:rPr>
        <w:t>批准后发布。</w:t>
      </w:r>
    </w:p>
    <w:p w14:paraId="0EE4E0E7">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2. </w:t>
      </w:r>
      <w:r>
        <w:rPr>
          <w:rFonts w:hint="eastAsia" w:ascii="微软雅黑" w:hAnsi="微软雅黑" w:eastAsia="微软雅黑" w:cs="微软雅黑"/>
          <w:sz w:val="24"/>
          <w:szCs w:val="24"/>
          <w:lang w:val="en-US" w:eastAsia="zh-CN"/>
        </w:rPr>
        <w:t>如</w:t>
      </w:r>
      <w:r>
        <w:rPr>
          <w:rFonts w:hint="eastAsia" w:ascii="微软雅黑" w:hAnsi="微软雅黑" w:eastAsia="微软雅黑" w:cs="微软雅黑"/>
          <w:sz w:val="24"/>
          <w:szCs w:val="24"/>
        </w:rPr>
        <w:t>遇法律法规</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重大更新或发生重大供应链事件时，应及时修订。</w:t>
      </w:r>
    </w:p>
    <w:p w14:paraId="263F95EE">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3. 本政策自批准之日起生效，</w:t>
      </w:r>
      <w:r>
        <w:rPr>
          <w:rFonts w:hint="eastAsia" w:ascii="微软雅黑" w:hAnsi="微软雅黑" w:eastAsia="微软雅黑" w:cs="微软雅黑"/>
          <w:sz w:val="24"/>
          <w:szCs w:val="24"/>
          <w:lang w:val="en-US" w:eastAsia="zh-CN"/>
        </w:rPr>
        <w:t>如</w:t>
      </w:r>
      <w:r>
        <w:rPr>
          <w:rFonts w:hint="eastAsia" w:ascii="微软雅黑" w:hAnsi="微软雅黑" w:eastAsia="微软雅黑" w:cs="微软雅黑"/>
          <w:sz w:val="24"/>
          <w:szCs w:val="24"/>
        </w:rPr>
        <w:t>相关制度与本政策不一致的，以本政策为准。</w:t>
      </w:r>
    </w:p>
    <w:p w14:paraId="3C208E55">
      <w:pPr>
        <w:spacing w:line="324" w:lineRule="auto"/>
        <w:ind w:left="360"/>
        <w:rPr>
          <w:rFonts w:hint="eastAsia" w:ascii="微软雅黑" w:hAnsi="微软雅黑" w:eastAsia="微软雅黑" w:cs="微软雅黑"/>
          <w:sz w:val="24"/>
          <w:szCs w:val="24"/>
        </w:rPr>
      </w:pPr>
      <w:r>
        <w:rPr>
          <w:rFonts w:hint="eastAsia" w:ascii="微软雅黑" w:hAnsi="微软雅黑" w:eastAsia="微软雅黑" w:cs="微软雅黑"/>
          <w:sz w:val="24"/>
          <w:szCs w:val="24"/>
        </w:rPr>
        <w:t>4. 本政策提供中英文版本，如有歧义，以中文版本为准。</w:t>
      </w:r>
    </w:p>
    <w:p w14:paraId="687498F5">
      <w:pPr>
        <w:spacing w:line="324" w:lineRule="auto"/>
        <w:ind w:left="360"/>
        <w:rPr>
          <w:rFonts w:hint="eastAsia" w:ascii="微软雅黑" w:hAnsi="微软雅黑" w:eastAsia="微软雅黑" w:cs="微软雅黑"/>
          <w:sz w:val="24"/>
          <w:szCs w:val="24"/>
        </w:rPr>
      </w:pPr>
    </w:p>
    <w:p w14:paraId="55BBF012">
      <w:pPr>
        <w:spacing w:after="0" w:line="360" w:lineRule="auto"/>
        <w:ind w:right="6"/>
        <w:jc w:val="both"/>
        <w:rPr>
          <w:rFonts w:hint="eastAsia" w:ascii="微软雅黑" w:hAnsi="微软雅黑" w:eastAsia="微软雅黑" w:cs="微软雅黑"/>
          <w:sz w:val="28"/>
          <w:szCs w:val="28"/>
          <w:highlight w:val="yellow"/>
        </w:rPr>
      </w:pPr>
    </w:p>
    <w:p w14:paraId="2D5AC96D">
      <w:pPr>
        <w:spacing w:after="0" w:line="360" w:lineRule="auto"/>
        <w:jc w:val="right"/>
        <w:rPr>
          <w:rFonts w:hint="eastAsia" w:ascii="微软雅黑" w:hAnsi="微软雅黑" w:eastAsia="微软雅黑" w:cs="微软雅黑"/>
          <w:sz w:val="26"/>
          <w:szCs w:val="26"/>
        </w:rPr>
      </w:pPr>
      <w:r>
        <w:rPr>
          <w:rFonts w:hint="eastAsia" w:ascii="微软雅黑" w:hAnsi="微软雅黑" w:eastAsia="微软雅黑" w:cs="微软雅黑"/>
          <w:sz w:val="26"/>
          <w:szCs w:val="26"/>
        </w:rPr>
        <w:t>生效日期：202</w:t>
      </w:r>
      <w:r>
        <w:rPr>
          <w:rFonts w:hint="eastAsia" w:ascii="微软雅黑" w:hAnsi="微软雅黑" w:eastAsia="微软雅黑" w:cs="微软雅黑"/>
          <w:sz w:val="26"/>
          <w:szCs w:val="26"/>
          <w:lang w:val="en-US" w:eastAsia="zh-CN"/>
        </w:rPr>
        <w:t>6</w:t>
      </w:r>
      <w:r>
        <w:rPr>
          <w:rFonts w:hint="eastAsia" w:ascii="微软雅黑" w:hAnsi="微软雅黑" w:eastAsia="微软雅黑" w:cs="微软雅黑"/>
          <w:sz w:val="26"/>
          <w:szCs w:val="26"/>
        </w:rPr>
        <w:t xml:space="preserve"> 年 </w:t>
      </w:r>
      <w:r>
        <w:rPr>
          <w:rFonts w:hint="eastAsia" w:ascii="微软雅黑" w:hAnsi="微软雅黑" w:eastAsia="微软雅黑" w:cs="微软雅黑"/>
          <w:sz w:val="26"/>
          <w:szCs w:val="26"/>
          <w:lang w:val="en-US" w:eastAsia="zh-CN"/>
        </w:rPr>
        <w:t>11</w:t>
      </w:r>
      <w:r>
        <w:rPr>
          <w:rFonts w:hint="eastAsia" w:ascii="微软雅黑" w:hAnsi="微软雅黑" w:eastAsia="微软雅黑" w:cs="微软雅黑"/>
          <w:sz w:val="26"/>
          <w:szCs w:val="26"/>
        </w:rPr>
        <w:t xml:space="preserve"> 月 2 日</w:t>
      </w:r>
    </w:p>
    <w:p w14:paraId="70E4C4DD">
      <w:pPr>
        <w:spacing w:after="0" w:line="360" w:lineRule="auto"/>
        <w:ind w:left="4320" w:firstLine="720" w:firstLineChars="0"/>
        <w:jc w:val="both"/>
        <w:rPr>
          <w:rFonts w:hint="eastAsia" w:ascii="黑体" w:hAnsi="黑体" w:eastAsia="黑体" w:cs="黑体"/>
          <w:sz w:val="24"/>
          <w:szCs w:val="24"/>
        </w:rPr>
      </w:pPr>
      <w:r>
        <w:rPr>
          <w:rFonts w:hint="eastAsia" w:ascii="微软雅黑" w:hAnsi="微软雅黑" w:eastAsia="微软雅黑" w:cs="微软雅黑"/>
          <w:sz w:val="26"/>
          <w:szCs w:val="26"/>
        </w:rPr>
        <w:t>更新日期：202</w:t>
      </w:r>
      <w:r>
        <w:rPr>
          <w:rFonts w:hint="eastAsia" w:ascii="微软雅黑" w:hAnsi="微软雅黑" w:eastAsia="微软雅黑" w:cs="微软雅黑"/>
          <w:sz w:val="26"/>
          <w:szCs w:val="26"/>
          <w:lang w:val="en-US" w:eastAsia="zh-CN"/>
        </w:rPr>
        <w:t xml:space="preserve">6 </w:t>
      </w:r>
      <w:r>
        <w:rPr>
          <w:rFonts w:hint="eastAsia" w:ascii="微软雅黑" w:hAnsi="微软雅黑" w:eastAsia="微软雅黑" w:cs="微软雅黑"/>
          <w:sz w:val="26"/>
          <w:szCs w:val="26"/>
        </w:rPr>
        <w:t>年</w:t>
      </w:r>
      <w:r>
        <w:rPr>
          <w:rFonts w:hint="eastAsia" w:ascii="微软雅黑" w:hAnsi="微软雅黑" w:eastAsia="微软雅黑" w:cs="微软雅黑"/>
          <w:sz w:val="26"/>
          <w:szCs w:val="26"/>
          <w:lang w:val="en-US" w:eastAsia="zh-CN"/>
        </w:rPr>
        <w:t xml:space="preserve"> 11 月 2</w:t>
      </w:r>
      <w:bookmarkStart w:id="0" w:name="page2"/>
      <w:bookmarkEnd w:id="0"/>
      <w:bookmarkStart w:id="1" w:name="page2_0"/>
      <w:bookmarkEnd w:id="1"/>
      <w:r>
        <w:rPr>
          <w:rFonts w:hint="eastAsia" w:ascii="微软雅黑" w:hAnsi="微软雅黑" w:eastAsia="微软雅黑" w:cs="微软雅黑"/>
          <w:sz w:val="26"/>
          <w:szCs w:val="26"/>
          <w:lang w:val="en-US" w:eastAsia="zh-CN"/>
        </w:rPr>
        <w:t>日</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6" w:lineRule="auto"/>
      </w:pPr>
      <w:r>
        <w:separator/>
      </w:r>
    </w:p>
  </w:footnote>
  <w:footnote w:type="continuationSeparator" w:id="3">
    <w:p>
      <w:pPr>
        <w:spacing w:before="0" w:after="0" w:line="276" w:lineRule="auto"/>
      </w:pPr>
      <w:r>
        <w:continuationSeparator/>
      </w:r>
    </w:p>
  </w:footnote>
  <w:footnote w:id="0">
    <w:p w14:paraId="2FEFFBC7">
      <w:pPr>
        <w:pStyle w:val="28"/>
        <w:snapToGrid w:val="0"/>
      </w:pPr>
      <w:r>
        <w:rPr>
          <w:rStyle w:val="137"/>
        </w:rPr>
        <w:footnoteRef/>
      </w:r>
      <w:r>
        <w:rPr>
          <w:rStyle w:val="137"/>
          <w:rFonts w:hint="eastAsia" w:ascii="微软雅黑" w:hAnsi="微软雅黑" w:eastAsia="微软雅黑" w:cs="微软雅黑"/>
          <w:vertAlign w:val="baseline"/>
          <w:lang w:val="en-US" w:eastAsia="zh-CN"/>
        </w:rPr>
        <w:t>《负责任矿产供应链政策》《负责任矿产供应链管理控制程序》</w:t>
      </w:r>
      <w:r>
        <w:rPr>
          <w:rFonts w:hint="eastAsia" w:ascii="微软雅黑" w:hAnsi="微软雅黑" w:eastAsia="微软雅黑" w:cs="微软雅黑"/>
          <w:lang w:val="en-US" w:eastAsia="zh-CN"/>
        </w:rPr>
        <w:t>来源：</w:t>
      </w:r>
      <w:r>
        <w:rPr>
          <w:rFonts w:hint="eastAsia" w:ascii="微软雅黑" w:hAnsi="微软雅黑" w:eastAsia="微软雅黑" w:cs="微软雅黑"/>
        </w:rPr>
        <w:t xml:space="preserve"> </w:t>
      </w:r>
      <w:r>
        <w:rPr>
          <w:rFonts w:hint="eastAsia"/>
        </w:rPr>
        <w:t>https://www.ganfenglithium.com/esg3.html</w:t>
      </w:r>
      <w:bookmarkStart w:id="2" w:name="_GoBack"/>
      <w:bookmarkEnd w:id="2"/>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5B1BA9"/>
    <w:multiLevelType w:val="singleLevel"/>
    <w:tmpl w:val="F55B1BA9"/>
    <w:lvl w:ilvl="0" w:tentative="0">
      <w:start w:val="3"/>
      <w:numFmt w:val="chineseCounting"/>
      <w:suff w:val="space"/>
      <w:lvlText w:val="第%1章"/>
      <w:lvlJc w:val="left"/>
      <w:pPr>
        <w:ind w:left="-420"/>
      </w:pPr>
      <w:rPr>
        <w:rFonts w:hint="eastAsia"/>
      </w:rPr>
    </w:lvl>
  </w:abstractNum>
  <w:abstractNum w:abstractNumId="1">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2">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3">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4">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5">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7">
    <w:nsid w:val="4B54BCE3"/>
    <w:multiLevelType w:val="singleLevel"/>
    <w:tmpl w:val="4B54BCE3"/>
    <w:lvl w:ilvl="0" w:tentative="0">
      <w:start w:val="1"/>
      <w:numFmt w:val="decimal"/>
      <w:suff w:val="space"/>
      <w:lvlText w:val="%1."/>
      <w:lvlJc w:val="left"/>
    </w:lvl>
  </w:abstractNum>
  <w:abstractNum w:abstractNumId="8">
    <w:nsid w:val="644864A8"/>
    <w:multiLevelType w:val="singleLevel"/>
    <w:tmpl w:val="644864A8"/>
    <w:lvl w:ilvl="0" w:tentative="0">
      <w:start w:val="1"/>
      <w:numFmt w:val="lowerLetter"/>
      <w:suff w:val="space"/>
      <w:lvlText w:val="%1)"/>
      <w:lvlJc w:val="left"/>
    </w:lvl>
  </w:abstractNum>
  <w:abstractNum w:abstractNumId="9">
    <w:nsid w:val="71F4125C"/>
    <w:multiLevelType w:val="singleLevel"/>
    <w:tmpl w:val="71F4125C"/>
    <w:lvl w:ilvl="0" w:tentative="0">
      <w:start w:val="1"/>
      <w:numFmt w:val="decimal"/>
      <w:suff w:val="space"/>
      <w:lvlText w:val="%1."/>
      <w:lvlJc w:val="left"/>
    </w:lvl>
  </w:abstractNum>
  <w:abstractNum w:abstractNumId="10">
    <w:nsid w:val="7FFF8314"/>
    <w:multiLevelType w:val="singleLevel"/>
    <w:tmpl w:val="7FFF8314"/>
    <w:lvl w:ilvl="0" w:tentative="0">
      <w:start w:val="1"/>
      <w:numFmt w:val="decimal"/>
      <w:suff w:val="space"/>
      <w:lvlText w:val="%1."/>
      <w:lvlJc w:val="left"/>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 w:numId="8">
    <w:abstractNumId w:val="7"/>
  </w:num>
  <w:num w:numId="9">
    <w:abstractNumId w:val="9"/>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2"/>
    <w:footnote w:id="3"/>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EB3508A"/>
    <w:rsid w:val="20A87CB4"/>
    <w:rsid w:val="4C0D75FB"/>
    <w:rsid w:val="6EB64B41"/>
    <w:rsid w:val="719873FF"/>
    <w:rsid w:val="75607115"/>
    <w:rsid w:val="7FCD65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heme="minorBidi"/>
      <w:sz w:val="22"/>
      <w:szCs w:val="22"/>
      <w:lang w:val="en-US" w:eastAsia="en-US" w:bidi="ar-SA"/>
    </w:rPr>
  </w:style>
  <w:style w:type="paragraph" w:styleId="3">
    <w:name w:val="heading 1"/>
    <w:basedOn w:val="1"/>
    <w:next w:val="1"/>
    <w:link w:val="14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3"/>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3"/>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4"/>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5"/>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6"/>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7"/>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8"/>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50"/>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9"/>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7"/>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9"/>
    <w:unhideWhenUsed/>
    <w:qFormat/>
    <w:uiPriority w:val="99"/>
    <w:pPr>
      <w:tabs>
        <w:tab w:val="center" w:pos="4680"/>
        <w:tab w:val="right" w:pos="9360"/>
      </w:tabs>
      <w:spacing w:after="0" w:line="240" w:lineRule="auto"/>
    </w:pPr>
  </w:style>
  <w:style w:type="paragraph" w:styleId="25">
    <w:name w:val="header"/>
    <w:basedOn w:val="1"/>
    <w:link w:val="138"/>
    <w:unhideWhenUsed/>
    <w:qFormat/>
    <w:uiPriority w:val="99"/>
    <w:pPr>
      <w:tabs>
        <w:tab w:val="center" w:pos="4680"/>
        <w:tab w:val="right" w:pos="9360"/>
      </w:tabs>
      <w:spacing w:after="0" w:line="240" w:lineRule="auto"/>
    </w:pPr>
  </w:style>
  <w:style w:type="paragraph" w:styleId="26">
    <w:name w:val="Subtitle"/>
    <w:basedOn w:val="1"/>
    <w:next w:val="1"/>
    <w:link w:val="145"/>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footnote text"/>
    <w:basedOn w:val="1"/>
    <w:semiHidden/>
    <w:unhideWhenUsed/>
    <w:qFormat/>
    <w:uiPriority w:val="99"/>
    <w:pPr>
      <w:snapToGrid w:val="0"/>
      <w:jc w:val="left"/>
    </w:pPr>
    <w:rPr>
      <w:sz w:val="18"/>
    </w:rPr>
  </w:style>
  <w:style w:type="paragraph" w:styleId="29">
    <w:name w:val="Body Text 2"/>
    <w:basedOn w:val="1"/>
    <w:link w:val="148"/>
    <w:unhideWhenUsed/>
    <w:qFormat/>
    <w:uiPriority w:val="99"/>
    <w:pPr>
      <w:spacing w:after="120" w:line="480" w:lineRule="auto"/>
    </w:pPr>
  </w:style>
  <w:style w:type="paragraph" w:styleId="30">
    <w:name w:val="List Continue 2"/>
    <w:basedOn w:val="1"/>
    <w:unhideWhenUsed/>
    <w:qFormat/>
    <w:uiPriority w:val="99"/>
    <w:pPr>
      <w:spacing w:after="120"/>
      <w:ind w:left="720"/>
      <w:contextualSpacing/>
    </w:p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4"/>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styleId="136">
    <w:name w:val="Hyperlink"/>
    <w:basedOn w:val="133"/>
    <w:semiHidden/>
    <w:unhideWhenUsed/>
    <w:uiPriority w:val="99"/>
    <w:rPr>
      <w:color w:val="0000FF"/>
      <w:u w:val="single"/>
    </w:rPr>
  </w:style>
  <w:style w:type="character" w:styleId="137">
    <w:name w:val="footnote reference"/>
    <w:basedOn w:val="133"/>
    <w:semiHidden/>
    <w:unhideWhenUsed/>
    <w:uiPriority w:val="99"/>
    <w:rPr>
      <w:vertAlign w:val="superscript"/>
    </w:rPr>
  </w:style>
  <w:style w:type="character" w:customStyle="1" w:styleId="138">
    <w:name w:val="Header Char"/>
    <w:basedOn w:val="133"/>
    <w:link w:val="25"/>
    <w:qFormat/>
    <w:uiPriority w:val="99"/>
  </w:style>
  <w:style w:type="character" w:customStyle="1" w:styleId="139">
    <w:name w:val="Footer Char"/>
    <w:basedOn w:val="133"/>
    <w:link w:val="24"/>
    <w:qFormat/>
    <w:uiPriority w:val="99"/>
  </w:style>
  <w:style w:type="paragraph" w:styleId="140">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1">
    <w:name w:val="Heading 1 Char"/>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2">
    <w:name w:val="Heading 2 Char"/>
    <w:basedOn w:val="133"/>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3">
    <w:name w:val="Heading 3 Char"/>
    <w:basedOn w:val="133"/>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4">
    <w:name w:val="Title Char"/>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5">
    <w:name w:val="Subtitle Char"/>
    <w:basedOn w:val="133"/>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6">
    <w:name w:val="List Paragraph"/>
    <w:basedOn w:val="1"/>
    <w:qFormat/>
    <w:uiPriority w:val="34"/>
    <w:pPr>
      <w:ind w:left="720"/>
      <w:contextualSpacing/>
    </w:pPr>
  </w:style>
  <w:style w:type="character" w:customStyle="1" w:styleId="147">
    <w:name w:val="Body Text Char"/>
    <w:basedOn w:val="133"/>
    <w:link w:val="19"/>
    <w:qFormat/>
    <w:uiPriority w:val="99"/>
  </w:style>
  <w:style w:type="character" w:customStyle="1" w:styleId="148">
    <w:name w:val="Body Text 2 Char"/>
    <w:basedOn w:val="133"/>
    <w:link w:val="29"/>
    <w:qFormat/>
    <w:uiPriority w:val="99"/>
  </w:style>
  <w:style w:type="character" w:customStyle="1" w:styleId="149">
    <w:name w:val="Body Text 3 Char"/>
    <w:basedOn w:val="133"/>
    <w:link w:val="17"/>
    <w:qFormat/>
    <w:uiPriority w:val="99"/>
    <w:rPr>
      <w:sz w:val="16"/>
      <w:szCs w:val="16"/>
    </w:rPr>
  </w:style>
  <w:style w:type="character" w:customStyle="1" w:styleId="150">
    <w:name w:val="Macro Text Char"/>
    <w:basedOn w:val="133"/>
    <w:link w:val="2"/>
    <w:qFormat/>
    <w:uiPriority w:val="99"/>
    <w:rPr>
      <w:rFonts w:ascii="Courier" w:hAnsi="Courier"/>
      <w:sz w:val="20"/>
      <w:szCs w:val="20"/>
    </w:rPr>
  </w:style>
  <w:style w:type="paragraph" w:styleId="151">
    <w:name w:val="Quote"/>
    <w:basedOn w:val="1"/>
    <w:next w:val="1"/>
    <w:link w:val="152"/>
    <w:qFormat/>
    <w:uiPriority w:val="29"/>
    <w:rPr>
      <w:i/>
      <w:iCs/>
      <w:color w:val="000000" w:themeColor="text1"/>
      <w14:textFill>
        <w14:solidFill>
          <w14:schemeClr w14:val="tx1"/>
        </w14:solidFill>
      </w14:textFill>
    </w:rPr>
  </w:style>
  <w:style w:type="character" w:customStyle="1" w:styleId="152">
    <w:name w:val="Quote Char"/>
    <w:basedOn w:val="133"/>
    <w:link w:val="151"/>
    <w:qFormat/>
    <w:uiPriority w:val="29"/>
    <w:rPr>
      <w:i/>
      <w:iCs/>
      <w:color w:val="000000" w:themeColor="text1"/>
      <w14:textFill>
        <w14:solidFill>
          <w14:schemeClr w14:val="tx1"/>
        </w14:solidFill>
      </w14:textFill>
    </w:rPr>
  </w:style>
  <w:style w:type="character" w:customStyle="1" w:styleId="153">
    <w:name w:val="Heading 4 Char"/>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4">
    <w:name w:val="Heading 5 Char"/>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5">
    <w:name w:val="Heading 6 Char"/>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6">
    <w:name w:val="Heading 7 Char"/>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7">
    <w:name w:val="Heading 8 Char"/>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8">
    <w:name w:val="Heading 9 Char"/>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9">
    <w:name w:val="Intense Quote"/>
    <w:basedOn w:val="1"/>
    <w:next w:val="1"/>
    <w:link w:val="160"/>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0">
    <w:name w:val="Intense Quote Char"/>
    <w:basedOn w:val="133"/>
    <w:link w:val="159"/>
    <w:qFormat/>
    <w:uiPriority w:val="30"/>
    <w:rPr>
      <w:b/>
      <w:bCs/>
      <w:i/>
      <w:iCs/>
      <w:color w:val="4F81BD" w:themeColor="accent1"/>
      <w14:textFill>
        <w14:solidFill>
          <w14:schemeClr w14:val="accent1"/>
        </w14:solidFill>
      </w14:textFill>
    </w:rPr>
  </w:style>
  <w:style w:type="character" w:customStyle="1" w:styleId="161">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2">
    <w:name w:val="Intense Emphasis"/>
    <w:basedOn w:val="133"/>
    <w:qFormat/>
    <w:uiPriority w:val="21"/>
    <w:rPr>
      <w:b/>
      <w:bCs/>
      <w:i/>
      <w:iCs/>
      <w:color w:val="4F81BD" w:themeColor="accent1"/>
      <w14:textFill>
        <w14:solidFill>
          <w14:schemeClr w14:val="accent1"/>
        </w14:solidFill>
      </w14:textFill>
    </w:rPr>
  </w:style>
  <w:style w:type="character" w:customStyle="1" w:styleId="163">
    <w:name w:val="Subtle Reference"/>
    <w:basedOn w:val="133"/>
    <w:qFormat/>
    <w:uiPriority w:val="31"/>
    <w:rPr>
      <w:smallCaps/>
      <w:color w:val="C0504D" w:themeColor="accent2"/>
      <w:u w:val="single"/>
      <w14:textFill>
        <w14:solidFill>
          <w14:schemeClr w14:val="accent2"/>
        </w14:solidFill>
      </w14:textFill>
    </w:rPr>
  </w:style>
  <w:style w:type="character" w:customStyle="1" w:styleId="164">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5">
    <w:name w:val="Book Title"/>
    <w:basedOn w:val="133"/>
    <w:qFormat/>
    <w:uiPriority w:val="33"/>
    <w:rPr>
      <w:b/>
      <w:bCs/>
      <w:smallCaps/>
      <w:spacing w:val="5"/>
    </w:rPr>
  </w:style>
  <w:style w:type="paragraph" w:customStyle="1" w:styleId="166">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16</Words>
  <Characters>16</Characters>
  <Lines>0</Lines>
  <Paragraphs>0</Paragraphs>
  <TotalTime>0</TotalTime>
  <ScaleCrop>false</ScaleCrop>
  <LinksUpToDate>false</LinksUpToDate>
  <CharactersWithSpaces>18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婧</cp:lastModifiedBy>
  <dcterms:modified xsi:type="dcterms:W3CDTF">2026-10-27T02:55:42Z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eyJoZGlkIjoiY2U2ZTNiMWFhODNlMmRiZjk2NmYyNjc3YTc5MmUyZWEiLCJ1c2VySWQiOiI0Mzc3MjM2MzgifQ==</vt:lpwstr>
  </property>
  <property fmtid="{D5CDD505-2E9C-101B-9397-08002B2CF9AE}" pid="3" name="KSOProductBuildVer">
    <vt:lpwstr>2052-12.1.0.29161</vt:lpwstr>
  </property>
  <property fmtid="{D5CDD505-2E9C-101B-9397-08002B2CF9AE}" pid="4" name="ICV">
    <vt:lpwstr>B05AFCC5EC9F40D082012777A2627891_13</vt:lpwstr>
  </property>
</Properties>
</file>