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0B78DE">
      <w:pPr>
        <w:spacing w:line="360" w:lineRule="auto"/>
        <w:ind w:right="-13"/>
        <w:jc w:val="center"/>
        <w:rPr>
          <w:rFonts w:hint="eastAsia" w:ascii="宋体" w:hAnsi="宋体" w:eastAsia="宋体" w:cs="宋体"/>
          <w:b/>
          <w:bCs/>
          <w:color w:val="000008"/>
          <w:sz w:val="43"/>
          <w:szCs w:val="43"/>
          <w:lang w:val="en-US" w:eastAsia="zh-CN"/>
        </w:rPr>
      </w:pPr>
      <w:r>
        <w:rPr>
          <w:rFonts w:hint="eastAsia" w:ascii="宋体" w:hAnsi="宋体" w:eastAsia="宋体" w:cs="宋体"/>
          <w:b/>
          <w:bCs/>
          <w:color w:val="000008"/>
          <w:sz w:val="43"/>
          <w:szCs w:val="43"/>
          <w:lang w:val="en-US" w:eastAsia="zh-CN"/>
        </w:rPr>
        <w:t xml:space="preserve">        </w:t>
      </w:r>
    </w:p>
    <w:p w14:paraId="06C1881E">
      <w:pPr>
        <w:spacing w:line="360" w:lineRule="auto"/>
        <w:ind w:right="-13"/>
        <w:jc w:val="center"/>
        <w:rPr>
          <w:rFonts w:hint="eastAsia" w:ascii="宋体" w:hAnsi="宋体" w:eastAsia="宋体" w:cs="宋体"/>
          <w:b/>
          <w:bCs/>
          <w:color w:val="000008"/>
          <w:sz w:val="43"/>
          <w:szCs w:val="43"/>
          <w:lang w:eastAsia="zh-CN"/>
        </w:rPr>
      </w:pPr>
    </w:p>
    <w:p w14:paraId="22D4E110">
      <w:pPr>
        <w:spacing w:line="360" w:lineRule="auto"/>
        <w:ind w:right="-13"/>
        <w:jc w:val="center"/>
        <w:rPr>
          <w:rFonts w:hint="eastAsia" w:ascii="宋体" w:hAnsi="宋体" w:eastAsia="宋体" w:cs="宋体"/>
          <w:b/>
          <w:bCs/>
          <w:color w:val="000008"/>
          <w:sz w:val="43"/>
          <w:szCs w:val="43"/>
          <w:lang w:eastAsia="zh-CN"/>
        </w:rPr>
      </w:pPr>
    </w:p>
    <w:p w14:paraId="0F9A05E9">
      <w:pPr>
        <w:spacing w:line="360" w:lineRule="auto"/>
        <w:ind w:right="-13"/>
        <w:jc w:val="center"/>
        <w:rPr>
          <w:rFonts w:hint="eastAsia" w:ascii="宋体" w:hAnsi="宋体" w:eastAsia="宋体" w:cs="宋体"/>
          <w:b/>
          <w:bCs/>
          <w:color w:val="000008"/>
          <w:sz w:val="43"/>
          <w:szCs w:val="43"/>
          <w:lang w:eastAsia="zh-CN"/>
        </w:rPr>
      </w:pPr>
    </w:p>
    <w:p w14:paraId="4008CC0F">
      <w:pPr>
        <w:spacing w:line="360" w:lineRule="auto"/>
        <w:ind w:right="-13"/>
        <w:jc w:val="center"/>
        <w:rPr>
          <w:rFonts w:hint="eastAsia" w:ascii="宋体" w:hAnsi="宋体" w:eastAsia="宋体" w:cs="宋体"/>
          <w:b/>
          <w:bCs/>
          <w:color w:val="000008"/>
          <w:sz w:val="43"/>
          <w:szCs w:val="43"/>
          <w:lang w:eastAsia="zh-CN"/>
        </w:rPr>
      </w:pPr>
    </w:p>
    <w:p w14:paraId="27CDFE0C">
      <w:pPr>
        <w:spacing w:line="360" w:lineRule="auto"/>
        <w:ind w:right="-13"/>
        <w:jc w:val="center"/>
        <w:rPr>
          <w:rFonts w:hint="eastAsia" w:ascii="宋体" w:hAnsi="宋体" w:eastAsia="宋体" w:cs="宋体"/>
          <w:b/>
          <w:bCs/>
          <w:color w:val="000008"/>
          <w:sz w:val="43"/>
          <w:szCs w:val="43"/>
          <w:lang w:eastAsia="zh-CN"/>
        </w:rPr>
      </w:pPr>
    </w:p>
    <w:p w14:paraId="7002F817">
      <w:pPr>
        <w:spacing w:line="360" w:lineRule="auto"/>
        <w:ind w:right="-13"/>
        <w:jc w:val="center"/>
        <w:rPr>
          <w:rFonts w:hint="eastAsia" w:ascii="宋体" w:hAnsi="宋体" w:eastAsia="宋体" w:cs="宋体"/>
          <w:b/>
          <w:bCs/>
          <w:color w:val="000008"/>
          <w:sz w:val="43"/>
          <w:szCs w:val="43"/>
          <w:lang w:eastAsia="zh-CN"/>
        </w:rPr>
      </w:pPr>
    </w:p>
    <w:p w14:paraId="095DE530">
      <w:pPr>
        <w:spacing w:line="360" w:lineRule="auto"/>
        <w:ind w:right="-13"/>
        <w:jc w:val="center"/>
        <w:rPr>
          <w:rFonts w:hint="eastAsia" w:ascii="宋体" w:hAnsi="宋体" w:eastAsia="宋体" w:cs="宋体"/>
          <w:b/>
          <w:bCs/>
          <w:color w:val="000008"/>
          <w:sz w:val="43"/>
          <w:szCs w:val="43"/>
          <w:lang w:eastAsia="zh-CN"/>
        </w:rPr>
      </w:pPr>
    </w:p>
    <w:p w14:paraId="2EB572F5">
      <w:pPr>
        <w:spacing w:line="360" w:lineRule="auto"/>
        <w:ind w:right="-13"/>
        <w:jc w:val="center"/>
        <w:rPr>
          <w:rFonts w:hint="default" w:ascii="宋体" w:hAnsi="宋体" w:eastAsia="宋体" w:cs="宋体"/>
          <w:b/>
          <w:bCs/>
          <w:sz w:val="43"/>
          <w:szCs w:val="43"/>
          <w:lang w:val="en-US" w:eastAsia="zh-CN"/>
        </w:rPr>
      </w:pPr>
      <w:r>
        <w:rPr>
          <w:rFonts w:hint="eastAsia" w:ascii="宋体" w:hAnsi="宋体" w:eastAsia="宋体" w:cs="宋体"/>
          <w:b/>
          <w:bCs/>
          <w:sz w:val="43"/>
          <w:szCs w:val="43"/>
          <w:lang w:eastAsia="zh-CN"/>
        </w:rPr>
        <w:t>江西赣锋锂业集团股份有限公司</w:t>
      </w:r>
      <w:r>
        <w:rPr>
          <w:rFonts w:hint="eastAsia" w:ascii="宋体" w:hAnsi="宋体" w:eastAsia="宋体" w:cs="宋体"/>
          <w:b/>
          <w:bCs/>
          <w:sz w:val="43"/>
          <w:szCs w:val="43"/>
          <w:lang w:val="en-US" w:eastAsia="zh-CN"/>
        </w:rPr>
        <w:t>(马洪工厂）</w:t>
      </w:r>
    </w:p>
    <w:p w14:paraId="0207FC58">
      <w:pPr>
        <w:spacing w:line="360" w:lineRule="auto"/>
        <w:ind w:right="-13"/>
        <w:jc w:val="center"/>
        <w:rPr>
          <w:rFonts w:hint="eastAsia" w:ascii="宋体" w:hAnsi="宋体" w:eastAsia="宋体" w:cs="宋体"/>
          <w:b/>
          <w:bCs/>
          <w:sz w:val="43"/>
          <w:szCs w:val="43"/>
          <w:lang w:eastAsia="zh-CN"/>
        </w:rPr>
      </w:pPr>
    </w:p>
    <w:p w14:paraId="07687F8F">
      <w:pPr>
        <w:spacing w:line="360" w:lineRule="auto"/>
        <w:ind w:right="-13"/>
        <w:jc w:val="center"/>
        <w:rPr>
          <w:rFonts w:hint="eastAsia" w:ascii="宋体" w:hAnsi="宋体" w:eastAsia="宋体" w:cs="宋体"/>
          <w:b/>
          <w:bCs/>
          <w:sz w:val="44"/>
          <w:szCs w:val="44"/>
          <w:lang w:eastAsia="zh-CN"/>
        </w:rPr>
      </w:pPr>
      <w:r>
        <w:rPr>
          <w:rFonts w:hint="eastAsia" w:ascii="宋体" w:hAnsi="宋体" w:eastAsia="宋体" w:cs="宋体"/>
          <w:b/>
          <w:bCs/>
          <w:sz w:val="44"/>
          <w:szCs w:val="44"/>
          <w:lang w:eastAsia="zh-CN"/>
        </w:rPr>
        <w:t>负责任矿产供应链尽责管理报告</w:t>
      </w:r>
    </w:p>
    <w:p w14:paraId="4EF23E48">
      <w:pPr>
        <w:spacing w:line="360" w:lineRule="auto"/>
        <w:ind w:right="-13"/>
        <w:jc w:val="center"/>
        <w:rPr>
          <w:rFonts w:hint="eastAsia" w:ascii="宋体" w:hAnsi="宋体" w:eastAsia="宋体" w:cs="宋体"/>
          <w:sz w:val="20"/>
          <w:szCs w:val="20"/>
          <w:lang w:eastAsia="zh-CN"/>
        </w:rPr>
      </w:pPr>
      <w:r>
        <w:rPr>
          <w:rFonts w:hint="eastAsia" w:ascii="宋体" w:hAnsi="宋体" w:eastAsia="宋体" w:cs="宋体"/>
          <w:w w:val="99"/>
          <w:sz w:val="44"/>
          <w:szCs w:val="44"/>
          <w:lang w:eastAsia="zh-CN"/>
        </w:rPr>
        <w:t>（202</w:t>
      </w:r>
      <w:r>
        <w:rPr>
          <w:rFonts w:hint="eastAsia" w:ascii="宋体" w:hAnsi="宋体" w:eastAsia="宋体" w:cs="宋体"/>
          <w:w w:val="99"/>
          <w:sz w:val="44"/>
          <w:szCs w:val="44"/>
          <w:lang w:val="en-US" w:eastAsia="zh-CN"/>
        </w:rPr>
        <w:t>5</w:t>
      </w:r>
      <w:r>
        <w:rPr>
          <w:rFonts w:hint="eastAsia" w:ascii="宋体" w:hAnsi="宋体" w:eastAsia="宋体" w:cs="宋体"/>
          <w:w w:val="99"/>
          <w:sz w:val="44"/>
          <w:szCs w:val="44"/>
          <w:lang w:eastAsia="zh-CN"/>
        </w:rPr>
        <w:t>.</w:t>
      </w:r>
      <w:r>
        <w:rPr>
          <w:rFonts w:hint="eastAsia" w:ascii="宋体" w:hAnsi="宋体" w:eastAsia="宋体" w:cs="宋体"/>
          <w:w w:val="99"/>
          <w:sz w:val="44"/>
          <w:szCs w:val="44"/>
          <w:lang w:val="en-US" w:eastAsia="zh-CN"/>
        </w:rPr>
        <w:t>10</w:t>
      </w:r>
      <w:r>
        <w:rPr>
          <w:rFonts w:hint="eastAsia" w:ascii="宋体" w:hAnsi="宋体" w:eastAsia="宋体" w:cs="宋体"/>
          <w:w w:val="99"/>
          <w:sz w:val="44"/>
          <w:szCs w:val="44"/>
          <w:lang w:eastAsia="zh-CN"/>
        </w:rPr>
        <w:t>.1-202</w:t>
      </w:r>
      <w:r>
        <w:rPr>
          <w:rFonts w:hint="eastAsia" w:ascii="宋体" w:hAnsi="宋体" w:eastAsia="宋体" w:cs="宋体"/>
          <w:w w:val="99"/>
          <w:sz w:val="44"/>
          <w:szCs w:val="44"/>
          <w:lang w:val="en-US" w:eastAsia="zh-CN"/>
        </w:rPr>
        <w:t>6</w:t>
      </w:r>
      <w:r>
        <w:rPr>
          <w:rFonts w:hint="eastAsia" w:ascii="宋体" w:hAnsi="宋体" w:eastAsia="宋体" w:cs="宋体"/>
          <w:w w:val="99"/>
          <w:sz w:val="44"/>
          <w:szCs w:val="44"/>
          <w:lang w:eastAsia="zh-CN"/>
        </w:rPr>
        <w:t>.9.30）</w:t>
      </w:r>
    </w:p>
    <w:p w14:paraId="0423AC32">
      <w:pPr>
        <w:spacing w:line="360" w:lineRule="auto"/>
        <w:rPr>
          <w:rFonts w:hint="eastAsia" w:ascii="宋体" w:hAnsi="宋体" w:eastAsia="宋体" w:cs="宋体"/>
          <w:lang w:eastAsia="zh-CN"/>
        </w:rPr>
      </w:pPr>
    </w:p>
    <w:p w14:paraId="701680A1">
      <w:pPr>
        <w:spacing w:line="360" w:lineRule="auto"/>
        <w:rPr>
          <w:rFonts w:hint="eastAsia" w:ascii="宋体" w:hAnsi="宋体" w:eastAsia="宋体" w:cs="宋体"/>
          <w:lang w:eastAsia="zh-CN"/>
        </w:rPr>
      </w:pPr>
    </w:p>
    <w:p w14:paraId="17DC4012">
      <w:pPr>
        <w:spacing w:line="360" w:lineRule="auto"/>
        <w:rPr>
          <w:rFonts w:hint="eastAsia" w:ascii="宋体" w:hAnsi="宋体" w:eastAsia="宋体" w:cs="宋体"/>
          <w:lang w:eastAsia="zh-CN"/>
        </w:rPr>
      </w:pPr>
    </w:p>
    <w:p w14:paraId="4EFDA460">
      <w:pPr>
        <w:spacing w:line="360" w:lineRule="auto"/>
        <w:rPr>
          <w:rFonts w:hint="eastAsia" w:ascii="宋体" w:hAnsi="宋体" w:eastAsia="宋体" w:cs="宋体"/>
          <w:lang w:eastAsia="zh-CN"/>
        </w:rPr>
      </w:pPr>
    </w:p>
    <w:p w14:paraId="241D37E9">
      <w:pPr>
        <w:spacing w:line="360" w:lineRule="auto"/>
        <w:rPr>
          <w:rFonts w:hint="eastAsia" w:ascii="宋体" w:hAnsi="宋体" w:eastAsia="宋体" w:cs="宋体"/>
          <w:lang w:eastAsia="zh-CN"/>
        </w:rPr>
      </w:pPr>
    </w:p>
    <w:p w14:paraId="0553E9CC">
      <w:pPr>
        <w:spacing w:line="360" w:lineRule="auto"/>
        <w:rPr>
          <w:rFonts w:hint="eastAsia" w:ascii="宋体" w:hAnsi="宋体" w:eastAsia="宋体" w:cs="宋体"/>
          <w:lang w:eastAsia="zh-CN"/>
        </w:rPr>
      </w:pPr>
    </w:p>
    <w:p w14:paraId="5CDE26BC">
      <w:pPr>
        <w:spacing w:line="360" w:lineRule="auto"/>
        <w:rPr>
          <w:rFonts w:hint="eastAsia" w:ascii="宋体" w:hAnsi="宋体" w:eastAsia="宋体" w:cs="宋体"/>
          <w:lang w:eastAsia="zh-CN"/>
        </w:rPr>
      </w:pPr>
    </w:p>
    <w:p w14:paraId="58A17A01">
      <w:pPr>
        <w:spacing w:line="360" w:lineRule="auto"/>
        <w:rPr>
          <w:rFonts w:hint="eastAsia" w:ascii="宋体" w:hAnsi="宋体" w:eastAsia="宋体" w:cs="宋体"/>
          <w:lang w:eastAsia="zh-CN"/>
        </w:rPr>
      </w:pPr>
    </w:p>
    <w:p w14:paraId="3115A1A6">
      <w:pPr>
        <w:spacing w:line="360" w:lineRule="auto"/>
        <w:rPr>
          <w:rFonts w:hint="eastAsia" w:ascii="宋体" w:hAnsi="宋体" w:eastAsia="宋体" w:cs="宋体"/>
          <w:lang w:eastAsia="zh-CN"/>
        </w:rPr>
      </w:pPr>
    </w:p>
    <w:p w14:paraId="31B15E52">
      <w:pPr>
        <w:spacing w:line="360" w:lineRule="auto"/>
        <w:rPr>
          <w:rFonts w:hint="eastAsia" w:ascii="宋体" w:hAnsi="宋体" w:eastAsia="宋体" w:cs="宋体"/>
          <w:lang w:eastAsia="zh-CN"/>
        </w:rPr>
      </w:pPr>
    </w:p>
    <w:p w14:paraId="47F62D97">
      <w:pPr>
        <w:spacing w:line="360" w:lineRule="auto"/>
        <w:rPr>
          <w:rFonts w:hint="eastAsia" w:ascii="宋体" w:hAnsi="宋体" w:eastAsia="宋体" w:cs="宋体"/>
          <w:lang w:eastAsia="zh-CN"/>
        </w:rPr>
      </w:pPr>
    </w:p>
    <w:p w14:paraId="6EE923D0">
      <w:pPr>
        <w:spacing w:line="360" w:lineRule="auto"/>
        <w:rPr>
          <w:rFonts w:hint="eastAsia" w:ascii="宋体" w:hAnsi="宋体" w:eastAsia="宋体" w:cs="宋体"/>
          <w:lang w:eastAsia="zh-CN"/>
        </w:rPr>
      </w:pPr>
    </w:p>
    <w:sdt>
      <w:sdtPr>
        <w:rPr>
          <w:rFonts w:hint="eastAsia" w:ascii="宋体" w:hAnsi="宋体" w:eastAsia="宋体" w:cs="宋体"/>
          <w:color w:val="auto"/>
          <w:sz w:val="24"/>
          <w:szCs w:val="24"/>
          <w:lang w:val="zh-CN" w:eastAsia="en-US"/>
        </w:rPr>
        <w:id w:val="-28193453"/>
        <w:docPartObj>
          <w:docPartGallery w:val="Table of Contents"/>
          <w:docPartUnique/>
        </w:docPartObj>
      </w:sdtPr>
      <w:sdtEndPr>
        <w:rPr>
          <w:rFonts w:hint="eastAsia" w:ascii="宋体" w:hAnsi="宋体" w:eastAsia="宋体" w:cs="宋体"/>
          <w:b/>
          <w:bCs/>
          <w:color w:val="auto"/>
          <w:sz w:val="24"/>
          <w:szCs w:val="24"/>
          <w:lang w:val="zh-CN" w:eastAsia="en-US"/>
        </w:rPr>
      </w:sdtEndPr>
      <w:sdtContent>
        <w:p w14:paraId="04F2B9EC">
          <w:pPr>
            <w:pStyle w:val="27"/>
            <w:spacing w:line="360" w:lineRule="auto"/>
            <w:jc w:val="center"/>
            <w:rPr>
              <w:rFonts w:hint="eastAsia" w:ascii="宋体" w:hAnsi="宋体" w:eastAsia="宋体" w:cs="宋体"/>
              <w:color w:val="auto"/>
            </w:rPr>
          </w:pPr>
          <w:r>
            <w:rPr>
              <w:rFonts w:hint="eastAsia" w:ascii="宋体" w:hAnsi="宋体" w:eastAsia="宋体" w:cs="宋体"/>
              <w:color w:val="auto"/>
              <w:lang w:val="zh-CN"/>
            </w:rPr>
            <w:t>目录</w:t>
          </w:r>
        </w:p>
        <w:p w14:paraId="3B1F7F5E">
          <w:pPr>
            <w:pStyle w:val="9"/>
            <w:tabs>
              <w:tab w:val="right" w:leader="dot" w:pos="8306"/>
            </w:tabs>
            <w:spacing w:line="360" w:lineRule="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TOC \o "1-3" \h \z \u </w:instrText>
          </w:r>
          <w:r>
            <w:rPr>
              <w:rFonts w:hint="eastAsia" w:ascii="宋体" w:hAnsi="宋体" w:eastAsia="宋体" w:cs="宋体"/>
            </w:rPr>
            <w:fldChar w:fldCharType="separate"/>
          </w:r>
          <w:r>
            <w:rPr>
              <w:rFonts w:hint="eastAsia" w:ascii="宋体" w:hAnsi="宋体" w:eastAsia="宋体" w:cs="宋体"/>
              <w:bCs/>
              <w:lang w:val="zh-CN"/>
            </w:rPr>
            <w:fldChar w:fldCharType="begin"/>
          </w:r>
          <w:r>
            <w:rPr>
              <w:rFonts w:hint="eastAsia" w:ascii="宋体" w:hAnsi="宋体" w:eastAsia="宋体" w:cs="宋体"/>
              <w:bCs/>
              <w:lang w:val="zh-CN"/>
            </w:rPr>
            <w:instrText xml:space="preserve"> HYPERLINK \l _Toc1937 </w:instrText>
          </w:r>
          <w:r>
            <w:rPr>
              <w:rFonts w:hint="eastAsia" w:ascii="宋体" w:hAnsi="宋体" w:eastAsia="宋体" w:cs="宋体"/>
              <w:bCs/>
              <w:lang w:val="zh-CN"/>
            </w:rPr>
            <w:fldChar w:fldCharType="separate"/>
          </w:r>
          <w:r>
            <w:rPr>
              <w:rFonts w:hint="eastAsia" w:ascii="宋体" w:hAnsi="宋体" w:eastAsia="宋体" w:cs="宋体"/>
              <w:lang w:eastAsia="zh-CN"/>
            </w:rPr>
            <w:t>1 报告编制说明</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_Toc1937 \h </w:instrText>
          </w:r>
          <w:r>
            <w:rPr>
              <w:rFonts w:hint="eastAsia" w:ascii="宋体" w:hAnsi="宋体" w:eastAsia="宋体" w:cs="宋体"/>
            </w:rPr>
            <w:fldChar w:fldCharType="separate"/>
          </w:r>
          <w:r>
            <w:rPr>
              <w:rFonts w:hint="eastAsia" w:ascii="宋体" w:hAnsi="宋体" w:eastAsia="宋体" w:cs="宋体"/>
            </w:rPr>
            <w:t>3</w:t>
          </w:r>
          <w:r>
            <w:rPr>
              <w:rFonts w:hint="eastAsia" w:ascii="宋体" w:hAnsi="宋体" w:eastAsia="宋体" w:cs="宋体"/>
            </w:rPr>
            <w:fldChar w:fldCharType="end"/>
          </w:r>
          <w:r>
            <w:rPr>
              <w:rFonts w:hint="eastAsia" w:ascii="宋体" w:hAnsi="宋体" w:eastAsia="宋体" w:cs="宋体"/>
              <w:bCs/>
              <w:lang w:val="zh-CN"/>
            </w:rPr>
            <w:fldChar w:fldCharType="end"/>
          </w:r>
        </w:p>
        <w:p w14:paraId="481A6524">
          <w:pPr>
            <w:pStyle w:val="11"/>
            <w:tabs>
              <w:tab w:val="right" w:leader="dot" w:pos="8306"/>
            </w:tabs>
            <w:spacing w:line="240" w:lineRule="auto"/>
            <w:rPr>
              <w:rFonts w:hint="eastAsia" w:ascii="宋体" w:hAnsi="宋体" w:eastAsia="宋体" w:cs="宋体"/>
            </w:rPr>
          </w:pPr>
          <w:r>
            <w:rPr>
              <w:rFonts w:hint="eastAsia" w:ascii="宋体" w:hAnsi="宋体" w:eastAsia="宋体" w:cs="宋体"/>
              <w:bCs/>
              <w:lang w:val="zh-CN"/>
            </w:rPr>
            <w:fldChar w:fldCharType="begin"/>
          </w:r>
          <w:r>
            <w:rPr>
              <w:rFonts w:hint="eastAsia" w:ascii="宋体" w:hAnsi="宋体" w:eastAsia="宋体" w:cs="宋体"/>
              <w:bCs/>
              <w:lang w:val="zh-CN"/>
            </w:rPr>
            <w:instrText xml:space="preserve"> HYPERLINK \l _Toc11749 </w:instrText>
          </w:r>
          <w:r>
            <w:rPr>
              <w:rFonts w:hint="eastAsia" w:ascii="宋体" w:hAnsi="宋体" w:eastAsia="宋体" w:cs="宋体"/>
              <w:bCs/>
              <w:lang w:val="zh-CN"/>
            </w:rPr>
            <w:fldChar w:fldCharType="separate"/>
          </w:r>
          <w:r>
            <w:rPr>
              <w:rFonts w:hint="eastAsia" w:ascii="宋体" w:hAnsi="宋体" w:eastAsia="宋体" w:cs="宋体"/>
              <w:lang w:eastAsia="zh-CN"/>
            </w:rPr>
            <w:t>1.1 报告范围</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_Toc11749 \h </w:instrText>
          </w:r>
          <w:r>
            <w:rPr>
              <w:rFonts w:hint="eastAsia" w:ascii="宋体" w:hAnsi="宋体" w:eastAsia="宋体" w:cs="宋体"/>
            </w:rPr>
            <w:fldChar w:fldCharType="separate"/>
          </w:r>
          <w:r>
            <w:rPr>
              <w:rFonts w:hint="eastAsia" w:ascii="宋体" w:hAnsi="宋体" w:eastAsia="宋体" w:cs="宋体"/>
            </w:rPr>
            <w:t>3</w:t>
          </w:r>
          <w:r>
            <w:rPr>
              <w:rFonts w:hint="eastAsia" w:ascii="宋体" w:hAnsi="宋体" w:eastAsia="宋体" w:cs="宋体"/>
            </w:rPr>
            <w:fldChar w:fldCharType="end"/>
          </w:r>
          <w:r>
            <w:rPr>
              <w:rFonts w:hint="eastAsia" w:ascii="宋体" w:hAnsi="宋体" w:eastAsia="宋体" w:cs="宋体"/>
              <w:bCs/>
              <w:lang w:val="zh-CN"/>
            </w:rPr>
            <w:fldChar w:fldCharType="end"/>
          </w:r>
        </w:p>
        <w:p w14:paraId="775969D4">
          <w:pPr>
            <w:pStyle w:val="11"/>
            <w:tabs>
              <w:tab w:val="right" w:leader="dot" w:pos="8306"/>
            </w:tabs>
            <w:spacing w:line="360" w:lineRule="auto"/>
            <w:rPr>
              <w:rFonts w:hint="eastAsia" w:ascii="宋体" w:hAnsi="宋体" w:eastAsia="宋体" w:cs="宋体"/>
            </w:rPr>
          </w:pPr>
          <w:r>
            <w:rPr>
              <w:rFonts w:hint="eastAsia" w:ascii="宋体" w:hAnsi="宋体" w:eastAsia="宋体" w:cs="宋体"/>
              <w:bCs/>
              <w:lang w:val="zh-CN"/>
            </w:rPr>
            <w:fldChar w:fldCharType="begin"/>
          </w:r>
          <w:r>
            <w:rPr>
              <w:rFonts w:hint="eastAsia" w:ascii="宋体" w:hAnsi="宋体" w:eastAsia="宋体" w:cs="宋体"/>
              <w:bCs/>
              <w:lang w:val="zh-CN"/>
            </w:rPr>
            <w:instrText xml:space="preserve"> HYPERLINK \l _Toc31427 </w:instrText>
          </w:r>
          <w:r>
            <w:rPr>
              <w:rFonts w:hint="eastAsia" w:ascii="宋体" w:hAnsi="宋体" w:eastAsia="宋体" w:cs="宋体"/>
              <w:bCs/>
              <w:lang w:val="zh-CN"/>
            </w:rPr>
            <w:fldChar w:fldCharType="separate"/>
          </w:r>
          <w:r>
            <w:rPr>
              <w:rFonts w:hint="eastAsia" w:ascii="宋体" w:hAnsi="宋体" w:eastAsia="宋体" w:cs="宋体"/>
              <w:lang w:eastAsia="zh-CN"/>
            </w:rPr>
            <w:t>1.2 编制依据</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_Toc31427 \h </w:instrText>
          </w:r>
          <w:r>
            <w:rPr>
              <w:rFonts w:hint="eastAsia" w:ascii="宋体" w:hAnsi="宋体" w:eastAsia="宋体" w:cs="宋体"/>
            </w:rPr>
            <w:fldChar w:fldCharType="separate"/>
          </w:r>
          <w:r>
            <w:rPr>
              <w:rFonts w:hint="eastAsia" w:ascii="宋体" w:hAnsi="宋体" w:eastAsia="宋体" w:cs="宋体"/>
            </w:rPr>
            <w:t>3</w:t>
          </w:r>
          <w:r>
            <w:rPr>
              <w:rFonts w:hint="eastAsia" w:ascii="宋体" w:hAnsi="宋体" w:eastAsia="宋体" w:cs="宋体"/>
            </w:rPr>
            <w:fldChar w:fldCharType="end"/>
          </w:r>
          <w:r>
            <w:rPr>
              <w:rFonts w:hint="eastAsia" w:ascii="宋体" w:hAnsi="宋体" w:eastAsia="宋体" w:cs="宋体"/>
              <w:bCs/>
              <w:lang w:val="zh-CN"/>
            </w:rPr>
            <w:fldChar w:fldCharType="end"/>
          </w:r>
        </w:p>
        <w:p w14:paraId="24FE5C5C">
          <w:pPr>
            <w:pStyle w:val="9"/>
            <w:tabs>
              <w:tab w:val="right" w:leader="dot" w:pos="8306"/>
            </w:tabs>
            <w:spacing w:line="360" w:lineRule="auto"/>
            <w:rPr>
              <w:rFonts w:hint="eastAsia" w:ascii="宋体" w:hAnsi="宋体" w:eastAsia="宋体" w:cs="宋体"/>
            </w:rPr>
          </w:pPr>
          <w:r>
            <w:rPr>
              <w:rFonts w:hint="eastAsia" w:ascii="宋体" w:hAnsi="宋体" w:eastAsia="宋体" w:cs="宋体"/>
              <w:bCs/>
              <w:lang w:val="zh-CN"/>
            </w:rPr>
            <w:fldChar w:fldCharType="begin"/>
          </w:r>
          <w:r>
            <w:rPr>
              <w:rFonts w:hint="eastAsia" w:ascii="宋体" w:hAnsi="宋体" w:eastAsia="宋体" w:cs="宋体"/>
              <w:bCs/>
              <w:lang w:val="zh-CN"/>
            </w:rPr>
            <w:instrText xml:space="preserve"> HYPERLINK \l _Toc12815 </w:instrText>
          </w:r>
          <w:r>
            <w:rPr>
              <w:rFonts w:hint="eastAsia" w:ascii="宋体" w:hAnsi="宋体" w:eastAsia="宋体" w:cs="宋体"/>
              <w:bCs/>
              <w:lang w:val="zh-CN"/>
            </w:rPr>
            <w:fldChar w:fldCharType="separate"/>
          </w:r>
          <w:r>
            <w:rPr>
              <w:rFonts w:hint="eastAsia" w:ascii="宋体" w:hAnsi="宋体" w:eastAsia="宋体" w:cs="宋体"/>
              <w:lang w:eastAsia="zh-CN"/>
            </w:rPr>
            <w:t>2 公司概况</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_Toc12815 \h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r>
            <w:rPr>
              <w:rFonts w:hint="eastAsia" w:ascii="宋体" w:hAnsi="宋体" w:eastAsia="宋体" w:cs="宋体"/>
              <w:bCs/>
              <w:lang w:val="zh-CN"/>
            </w:rPr>
            <w:fldChar w:fldCharType="end"/>
          </w:r>
        </w:p>
        <w:p w14:paraId="7308F660">
          <w:pPr>
            <w:pStyle w:val="9"/>
            <w:tabs>
              <w:tab w:val="right" w:leader="dot" w:pos="8306"/>
            </w:tabs>
            <w:spacing w:line="360" w:lineRule="auto"/>
            <w:rPr>
              <w:rFonts w:hint="eastAsia" w:ascii="宋体" w:hAnsi="宋体" w:eastAsia="宋体" w:cs="宋体"/>
            </w:rPr>
          </w:pPr>
          <w:r>
            <w:rPr>
              <w:rFonts w:hint="eastAsia" w:ascii="宋体" w:hAnsi="宋体" w:eastAsia="宋体" w:cs="宋体"/>
              <w:bCs/>
              <w:lang w:val="zh-CN"/>
            </w:rPr>
            <w:fldChar w:fldCharType="begin"/>
          </w:r>
          <w:r>
            <w:rPr>
              <w:rFonts w:hint="eastAsia" w:ascii="宋体" w:hAnsi="宋体" w:eastAsia="宋体" w:cs="宋体"/>
              <w:bCs/>
              <w:lang w:val="zh-CN"/>
            </w:rPr>
            <w:instrText xml:space="preserve"> HYPERLINK \l _Toc23080 </w:instrText>
          </w:r>
          <w:r>
            <w:rPr>
              <w:rFonts w:hint="eastAsia" w:ascii="宋体" w:hAnsi="宋体" w:eastAsia="宋体" w:cs="宋体"/>
              <w:bCs/>
              <w:lang w:val="zh-CN"/>
            </w:rPr>
            <w:fldChar w:fldCharType="separate"/>
          </w:r>
          <w:r>
            <w:rPr>
              <w:rFonts w:hint="eastAsia" w:ascii="宋体" w:hAnsi="宋体" w:eastAsia="宋体" w:cs="宋体"/>
              <w:lang w:val="en-US" w:eastAsia="zh-CN"/>
            </w:rPr>
            <w:t>3</w:t>
          </w:r>
          <w:r>
            <w:rPr>
              <w:rFonts w:hint="eastAsia" w:ascii="宋体" w:hAnsi="宋体" w:eastAsia="宋体" w:cs="宋体"/>
              <w:lang w:eastAsia="zh-CN"/>
            </w:rPr>
            <w:t xml:space="preserve"> 负责任矿产的供应链政策</w:t>
          </w:r>
          <w:r>
            <w:rPr>
              <w:rFonts w:hint="eastAsia" w:ascii="宋体" w:hAnsi="宋体" w:eastAsia="宋体" w:cs="宋体"/>
              <w:lang w:val="en-US" w:eastAsia="zh-CN"/>
            </w:rPr>
            <w:t>&amp;供应商行为准则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_Toc23080 \h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r>
            <w:rPr>
              <w:rFonts w:hint="eastAsia" w:ascii="宋体" w:hAnsi="宋体" w:eastAsia="宋体" w:cs="宋体"/>
              <w:bCs/>
              <w:lang w:val="zh-CN"/>
            </w:rPr>
            <w:fldChar w:fldCharType="end"/>
          </w:r>
        </w:p>
        <w:p w14:paraId="5A46594C">
          <w:pPr>
            <w:pStyle w:val="9"/>
            <w:tabs>
              <w:tab w:val="right" w:leader="dot" w:pos="8306"/>
            </w:tabs>
            <w:spacing w:line="360" w:lineRule="auto"/>
            <w:rPr>
              <w:rFonts w:hint="eastAsia" w:ascii="宋体" w:hAnsi="宋体" w:eastAsia="宋体" w:cs="宋体"/>
            </w:rPr>
          </w:pPr>
          <w:r>
            <w:rPr>
              <w:rFonts w:hint="eastAsia" w:ascii="宋体" w:hAnsi="宋体" w:eastAsia="宋体" w:cs="宋体"/>
              <w:bCs/>
              <w:lang w:val="zh-CN"/>
            </w:rPr>
            <w:fldChar w:fldCharType="begin"/>
          </w:r>
          <w:r>
            <w:rPr>
              <w:rFonts w:hint="eastAsia" w:ascii="宋体" w:hAnsi="宋体" w:eastAsia="宋体" w:cs="宋体"/>
              <w:bCs/>
              <w:lang w:val="zh-CN"/>
            </w:rPr>
            <w:instrText xml:space="preserve"> HYPERLINK \l _Toc16595 </w:instrText>
          </w:r>
          <w:r>
            <w:rPr>
              <w:rFonts w:hint="eastAsia" w:ascii="宋体" w:hAnsi="宋体" w:eastAsia="宋体" w:cs="宋体"/>
              <w:bCs/>
              <w:lang w:val="zh-CN"/>
            </w:rPr>
            <w:fldChar w:fldCharType="separate"/>
          </w:r>
          <w:r>
            <w:rPr>
              <w:rFonts w:hint="eastAsia" w:ascii="宋体" w:hAnsi="宋体" w:eastAsia="宋体" w:cs="宋体"/>
              <w:lang w:val="en-US" w:eastAsia="zh-CN"/>
            </w:rPr>
            <w:t>4</w:t>
          </w:r>
          <w:r>
            <w:rPr>
              <w:rFonts w:hint="eastAsia" w:ascii="宋体" w:hAnsi="宋体" w:eastAsia="宋体" w:cs="宋体"/>
              <w:lang w:eastAsia="zh-CN"/>
            </w:rPr>
            <w:t xml:space="preserve"> 公司管理体系（所有来源）</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_Toc16595 \h </w:instrText>
          </w:r>
          <w:r>
            <w:rPr>
              <w:rFonts w:hint="eastAsia" w:ascii="宋体" w:hAnsi="宋体" w:eastAsia="宋体" w:cs="宋体"/>
            </w:rPr>
            <w:fldChar w:fldCharType="separate"/>
          </w:r>
          <w:r>
            <w:rPr>
              <w:rFonts w:hint="eastAsia" w:ascii="宋体" w:hAnsi="宋体" w:eastAsia="宋体" w:cs="宋体"/>
            </w:rPr>
            <w:t>8</w:t>
          </w:r>
          <w:r>
            <w:rPr>
              <w:rFonts w:hint="eastAsia" w:ascii="宋体" w:hAnsi="宋体" w:eastAsia="宋体" w:cs="宋体"/>
            </w:rPr>
            <w:fldChar w:fldCharType="end"/>
          </w:r>
          <w:r>
            <w:rPr>
              <w:rFonts w:hint="eastAsia" w:ascii="宋体" w:hAnsi="宋体" w:eastAsia="宋体" w:cs="宋体"/>
              <w:bCs/>
              <w:lang w:val="zh-CN"/>
            </w:rPr>
            <w:fldChar w:fldCharType="end"/>
          </w:r>
        </w:p>
        <w:p w14:paraId="6F87EFF4">
          <w:pPr>
            <w:pStyle w:val="11"/>
            <w:tabs>
              <w:tab w:val="right" w:leader="dot" w:pos="8306"/>
            </w:tabs>
            <w:spacing w:line="360" w:lineRule="auto"/>
            <w:rPr>
              <w:rFonts w:hint="eastAsia" w:ascii="宋体" w:hAnsi="宋体" w:eastAsia="宋体" w:cs="宋体"/>
            </w:rPr>
          </w:pPr>
          <w:r>
            <w:rPr>
              <w:rFonts w:hint="eastAsia" w:ascii="宋体" w:hAnsi="宋体" w:eastAsia="宋体" w:cs="宋体"/>
              <w:bCs/>
              <w:lang w:val="zh-CN"/>
            </w:rPr>
            <w:fldChar w:fldCharType="begin"/>
          </w:r>
          <w:r>
            <w:rPr>
              <w:rFonts w:hint="eastAsia" w:ascii="宋体" w:hAnsi="宋体" w:eastAsia="宋体" w:cs="宋体"/>
              <w:bCs/>
              <w:lang w:val="zh-CN"/>
            </w:rPr>
            <w:instrText xml:space="preserve"> HYPERLINK \l _Toc21787 </w:instrText>
          </w:r>
          <w:r>
            <w:rPr>
              <w:rFonts w:hint="eastAsia" w:ascii="宋体" w:hAnsi="宋体" w:eastAsia="宋体" w:cs="宋体"/>
              <w:bCs/>
              <w:lang w:val="zh-CN"/>
            </w:rPr>
            <w:fldChar w:fldCharType="separate"/>
          </w:r>
          <w:r>
            <w:rPr>
              <w:rFonts w:hint="eastAsia" w:ascii="宋体" w:hAnsi="宋体" w:eastAsia="宋体" w:cs="宋体"/>
              <w:lang w:val="en-US" w:eastAsia="zh-CN"/>
            </w:rPr>
            <w:t>4</w:t>
          </w:r>
          <w:r>
            <w:rPr>
              <w:rFonts w:hint="eastAsia" w:ascii="宋体" w:hAnsi="宋体" w:eastAsia="宋体" w:cs="宋体"/>
              <w:lang w:eastAsia="zh-CN"/>
            </w:rPr>
            <w:t>.1 管理结构</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_Toc21787 \h </w:instrText>
          </w:r>
          <w:r>
            <w:rPr>
              <w:rFonts w:hint="eastAsia" w:ascii="宋体" w:hAnsi="宋体" w:eastAsia="宋体" w:cs="宋体"/>
            </w:rPr>
            <w:fldChar w:fldCharType="separate"/>
          </w:r>
          <w:r>
            <w:rPr>
              <w:rFonts w:hint="eastAsia" w:ascii="宋体" w:hAnsi="宋体" w:eastAsia="宋体" w:cs="宋体"/>
            </w:rPr>
            <w:t>8</w:t>
          </w:r>
          <w:r>
            <w:rPr>
              <w:rFonts w:hint="eastAsia" w:ascii="宋体" w:hAnsi="宋体" w:eastAsia="宋体" w:cs="宋体"/>
            </w:rPr>
            <w:fldChar w:fldCharType="end"/>
          </w:r>
          <w:r>
            <w:rPr>
              <w:rFonts w:hint="eastAsia" w:ascii="宋体" w:hAnsi="宋体" w:eastAsia="宋体" w:cs="宋体"/>
              <w:bCs/>
              <w:lang w:val="zh-CN"/>
            </w:rPr>
            <w:fldChar w:fldCharType="end"/>
          </w:r>
        </w:p>
        <w:p w14:paraId="092D7018">
          <w:pPr>
            <w:pStyle w:val="11"/>
            <w:tabs>
              <w:tab w:val="right" w:leader="dot" w:pos="8306"/>
            </w:tabs>
            <w:spacing w:line="360" w:lineRule="auto"/>
            <w:rPr>
              <w:rFonts w:hint="eastAsia" w:ascii="宋体" w:hAnsi="宋体" w:eastAsia="宋体" w:cs="宋体"/>
            </w:rPr>
          </w:pPr>
          <w:r>
            <w:rPr>
              <w:rFonts w:hint="eastAsia" w:ascii="宋体" w:hAnsi="宋体" w:eastAsia="宋体" w:cs="宋体"/>
              <w:bCs/>
              <w:lang w:val="zh-CN"/>
            </w:rPr>
            <w:fldChar w:fldCharType="begin"/>
          </w:r>
          <w:r>
            <w:rPr>
              <w:rFonts w:hint="eastAsia" w:ascii="宋体" w:hAnsi="宋体" w:eastAsia="宋体" w:cs="宋体"/>
              <w:bCs/>
              <w:lang w:val="zh-CN"/>
            </w:rPr>
            <w:instrText xml:space="preserve"> HYPERLINK \l _Toc20441 </w:instrText>
          </w:r>
          <w:r>
            <w:rPr>
              <w:rFonts w:hint="eastAsia" w:ascii="宋体" w:hAnsi="宋体" w:eastAsia="宋体" w:cs="宋体"/>
              <w:bCs/>
              <w:lang w:val="zh-CN"/>
            </w:rPr>
            <w:fldChar w:fldCharType="separate"/>
          </w:r>
          <w:r>
            <w:rPr>
              <w:rFonts w:hint="eastAsia" w:ascii="宋体" w:hAnsi="宋体" w:eastAsia="宋体" w:cs="宋体"/>
              <w:lang w:eastAsia="zh-CN"/>
            </w:rPr>
            <w:t>3.2 内部控制系统</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_Toc20441 \h </w:instrText>
          </w:r>
          <w:r>
            <w:rPr>
              <w:rFonts w:hint="eastAsia" w:ascii="宋体" w:hAnsi="宋体" w:eastAsia="宋体" w:cs="宋体"/>
            </w:rPr>
            <w:fldChar w:fldCharType="separate"/>
          </w:r>
          <w:r>
            <w:rPr>
              <w:rFonts w:hint="eastAsia" w:ascii="宋体" w:hAnsi="宋体" w:eastAsia="宋体" w:cs="宋体"/>
            </w:rPr>
            <w:t>9</w:t>
          </w:r>
          <w:r>
            <w:rPr>
              <w:rFonts w:hint="eastAsia" w:ascii="宋体" w:hAnsi="宋体" w:eastAsia="宋体" w:cs="宋体"/>
            </w:rPr>
            <w:fldChar w:fldCharType="end"/>
          </w:r>
          <w:r>
            <w:rPr>
              <w:rFonts w:hint="eastAsia" w:ascii="宋体" w:hAnsi="宋体" w:eastAsia="宋体" w:cs="宋体"/>
              <w:bCs/>
              <w:lang w:val="zh-CN"/>
            </w:rPr>
            <w:fldChar w:fldCharType="end"/>
          </w:r>
        </w:p>
        <w:p w14:paraId="56D61CC2">
          <w:pPr>
            <w:pStyle w:val="11"/>
            <w:tabs>
              <w:tab w:val="right" w:leader="dot" w:pos="8306"/>
            </w:tabs>
            <w:spacing w:line="360" w:lineRule="auto"/>
            <w:rPr>
              <w:rFonts w:hint="eastAsia" w:ascii="宋体" w:hAnsi="宋体" w:eastAsia="宋体" w:cs="宋体"/>
            </w:rPr>
          </w:pPr>
          <w:r>
            <w:rPr>
              <w:rFonts w:hint="eastAsia" w:ascii="宋体" w:hAnsi="宋体" w:eastAsia="宋体" w:cs="宋体"/>
              <w:bCs/>
              <w:lang w:val="zh-CN"/>
            </w:rPr>
            <w:fldChar w:fldCharType="begin"/>
          </w:r>
          <w:r>
            <w:rPr>
              <w:rFonts w:hint="eastAsia" w:ascii="宋体" w:hAnsi="宋体" w:eastAsia="宋体" w:cs="宋体"/>
              <w:bCs/>
              <w:lang w:val="zh-CN"/>
            </w:rPr>
            <w:instrText xml:space="preserve"> HYPERLINK \l _Toc18322 </w:instrText>
          </w:r>
          <w:r>
            <w:rPr>
              <w:rFonts w:hint="eastAsia" w:ascii="宋体" w:hAnsi="宋体" w:eastAsia="宋体" w:cs="宋体"/>
              <w:bCs/>
              <w:lang w:val="zh-CN"/>
            </w:rPr>
            <w:fldChar w:fldCharType="separate"/>
          </w:r>
          <w:r>
            <w:rPr>
              <w:rFonts w:hint="eastAsia" w:ascii="宋体" w:hAnsi="宋体" w:eastAsia="宋体" w:cs="宋体"/>
              <w:lang w:val="en-US" w:eastAsia="zh-CN"/>
            </w:rPr>
            <w:t>4</w:t>
          </w:r>
          <w:r>
            <w:rPr>
              <w:rFonts w:hint="eastAsia" w:ascii="宋体" w:hAnsi="宋体" w:eastAsia="宋体" w:cs="宋体"/>
              <w:lang w:eastAsia="zh-CN"/>
            </w:rPr>
            <w:t>.3 记录保留系统</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_Toc18322 \h </w:instrText>
          </w:r>
          <w:r>
            <w:rPr>
              <w:rFonts w:hint="eastAsia" w:ascii="宋体" w:hAnsi="宋体" w:eastAsia="宋体" w:cs="宋体"/>
            </w:rPr>
            <w:fldChar w:fldCharType="separate"/>
          </w:r>
          <w:r>
            <w:rPr>
              <w:rFonts w:hint="eastAsia" w:ascii="宋体" w:hAnsi="宋体" w:eastAsia="宋体" w:cs="宋体"/>
            </w:rPr>
            <w:t>10</w:t>
          </w:r>
          <w:r>
            <w:rPr>
              <w:rFonts w:hint="eastAsia" w:ascii="宋体" w:hAnsi="宋体" w:eastAsia="宋体" w:cs="宋体"/>
            </w:rPr>
            <w:fldChar w:fldCharType="end"/>
          </w:r>
          <w:r>
            <w:rPr>
              <w:rFonts w:hint="eastAsia" w:ascii="宋体" w:hAnsi="宋体" w:eastAsia="宋体" w:cs="宋体"/>
              <w:bCs/>
              <w:lang w:val="zh-CN"/>
            </w:rPr>
            <w:fldChar w:fldCharType="end"/>
          </w:r>
        </w:p>
        <w:p w14:paraId="0085D604">
          <w:pPr>
            <w:pStyle w:val="9"/>
            <w:tabs>
              <w:tab w:val="right" w:leader="dot" w:pos="8306"/>
            </w:tabs>
            <w:spacing w:line="360" w:lineRule="auto"/>
            <w:rPr>
              <w:rFonts w:hint="eastAsia" w:ascii="宋体" w:hAnsi="宋体" w:eastAsia="宋体" w:cs="宋体"/>
            </w:rPr>
          </w:pPr>
          <w:r>
            <w:rPr>
              <w:rFonts w:hint="eastAsia" w:ascii="宋体" w:hAnsi="宋体" w:eastAsia="宋体" w:cs="宋体"/>
              <w:bCs/>
              <w:lang w:val="zh-CN"/>
            </w:rPr>
            <w:fldChar w:fldCharType="begin"/>
          </w:r>
          <w:r>
            <w:rPr>
              <w:rFonts w:hint="eastAsia" w:ascii="宋体" w:hAnsi="宋体" w:eastAsia="宋体" w:cs="宋体"/>
              <w:bCs/>
              <w:lang w:val="zh-CN"/>
            </w:rPr>
            <w:instrText xml:space="preserve"> HYPERLINK \l _Toc15484 </w:instrText>
          </w:r>
          <w:r>
            <w:rPr>
              <w:rFonts w:hint="eastAsia" w:ascii="宋体" w:hAnsi="宋体" w:eastAsia="宋体" w:cs="宋体"/>
              <w:bCs/>
              <w:lang w:val="zh-CN"/>
            </w:rPr>
            <w:fldChar w:fldCharType="separate"/>
          </w:r>
          <w:r>
            <w:rPr>
              <w:rFonts w:hint="eastAsia" w:ascii="宋体" w:hAnsi="宋体" w:eastAsia="宋体" w:cs="宋体"/>
              <w:lang w:val="en-US" w:eastAsia="zh-CN"/>
            </w:rPr>
            <w:t>5</w:t>
          </w:r>
          <w:r>
            <w:rPr>
              <w:rFonts w:hint="eastAsia" w:ascii="宋体" w:hAnsi="宋体" w:eastAsia="宋体" w:cs="宋体"/>
              <w:lang w:eastAsia="zh-CN"/>
            </w:rPr>
            <w:t xml:space="preserve"> 风险识别</w:t>
          </w:r>
          <w:r>
            <w:rPr>
              <w:rFonts w:hint="eastAsia" w:ascii="宋体" w:hAnsi="宋体" w:eastAsia="宋体" w:cs="宋体"/>
              <w:lang w:val="en-US" w:eastAsia="zh-CN"/>
            </w:rPr>
            <w:t>与评估</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_Toc15484 \h </w:instrText>
          </w:r>
          <w:r>
            <w:rPr>
              <w:rFonts w:hint="eastAsia" w:ascii="宋体" w:hAnsi="宋体" w:eastAsia="宋体" w:cs="宋体"/>
            </w:rPr>
            <w:fldChar w:fldCharType="separate"/>
          </w:r>
          <w:r>
            <w:rPr>
              <w:rFonts w:hint="eastAsia" w:ascii="宋体" w:hAnsi="宋体" w:eastAsia="宋体" w:cs="宋体"/>
            </w:rPr>
            <w:t>10</w:t>
          </w:r>
          <w:r>
            <w:rPr>
              <w:rFonts w:hint="eastAsia" w:ascii="宋体" w:hAnsi="宋体" w:eastAsia="宋体" w:cs="宋体"/>
            </w:rPr>
            <w:fldChar w:fldCharType="end"/>
          </w:r>
          <w:r>
            <w:rPr>
              <w:rFonts w:hint="eastAsia" w:ascii="宋体" w:hAnsi="宋体" w:eastAsia="宋体" w:cs="宋体"/>
              <w:bCs/>
              <w:lang w:val="zh-CN"/>
            </w:rPr>
            <w:fldChar w:fldCharType="end"/>
          </w:r>
        </w:p>
        <w:p w14:paraId="0975ACEA">
          <w:pPr>
            <w:pStyle w:val="11"/>
            <w:tabs>
              <w:tab w:val="right" w:leader="dot" w:pos="8306"/>
            </w:tabs>
            <w:spacing w:line="360" w:lineRule="auto"/>
            <w:rPr>
              <w:rFonts w:hint="eastAsia" w:ascii="宋体" w:hAnsi="宋体" w:eastAsia="宋体" w:cs="宋体"/>
            </w:rPr>
          </w:pPr>
          <w:r>
            <w:rPr>
              <w:rFonts w:hint="eastAsia" w:ascii="宋体" w:hAnsi="宋体" w:eastAsia="宋体" w:cs="宋体"/>
              <w:bCs/>
              <w:lang w:val="zh-CN"/>
            </w:rPr>
            <w:fldChar w:fldCharType="begin"/>
          </w:r>
          <w:r>
            <w:rPr>
              <w:rFonts w:hint="eastAsia" w:ascii="宋体" w:hAnsi="宋体" w:eastAsia="宋体" w:cs="宋体"/>
              <w:bCs/>
              <w:lang w:val="zh-CN"/>
            </w:rPr>
            <w:instrText xml:space="preserve"> HYPERLINK \l _Toc19892 </w:instrText>
          </w:r>
          <w:r>
            <w:rPr>
              <w:rFonts w:hint="eastAsia" w:ascii="宋体" w:hAnsi="宋体" w:eastAsia="宋体" w:cs="宋体"/>
              <w:bCs/>
              <w:lang w:val="zh-CN"/>
            </w:rPr>
            <w:fldChar w:fldCharType="separate"/>
          </w:r>
          <w:r>
            <w:rPr>
              <w:rFonts w:hint="eastAsia" w:ascii="宋体" w:hAnsi="宋体" w:eastAsia="宋体" w:cs="宋体"/>
              <w:lang w:val="en-US" w:eastAsia="zh-CN"/>
            </w:rPr>
            <w:t>5</w:t>
          </w:r>
          <w:r>
            <w:rPr>
              <w:rFonts w:hint="eastAsia" w:ascii="宋体" w:hAnsi="宋体" w:eastAsia="宋体" w:cs="宋体"/>
              <w:lang w:eastAsia="zh-CN"/>
            </w:rPr>
            <w:t>.1</w:t>
          </w:r>
          <w:r>
            <w:rPr>
              <w:rFonts w:hint="eastAsia" w:ascii="宋体" w:hAnsi="宋体" w:eastAsia="宋体" w:cs="宋体"/>
              <w:lang w:val="en-US" w:eastAsia="zh-CN"/>
            </w:rPr>
            <w:t>供应商信息收集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_Toc19892 \h </w:instrText>
          </w:r>
          <w:r>
            <w:rPr>
              <w:rFonts w:hint="eastAsia" w:ascii="宋体" w:hAnsi="宋体" w:eastAsia="宋体" w:cs="宋体"/>
            </w:rPr>
            <w:fldChar w:fldCharType="separate"/>
          </w:r>
          <w:r>
            <w:rPr>
              <w:rFonts w:hint="eastAsia" w:ascii="宋体" w:hAnsi="宋体" w:eastAsia="宋体" w:cs="宋体"/>
            </w:rPr>
            <w:t>10</w:t>
          </w:r>
          <w:r>
            <w:rPr>
              <w:rFonts w:hint="eastAsia" w:ascii="宋体" w:hAnsi="宋体" w:eastAsia="宋体" w:cs="宋体"/>
            </w:rPr>
            <w:fldChar w:fldCharType="end"/>
          </w:r>
          <w:r>
            <w:rPr>
              <w:rFonts w:hint="eastAsia" w:ascii="宋体" w:hAnsi="宋体" w:eastAsia="宋体" w:cs="宋体"/>
              <w:bCs/>
              <w:lang w:val="zh-CN"/>
            </w:rPr>
            <w:fldChar w:fldCharType="end"/>
          </w:r>
        </w:p>
        <w:p w14:paraId="33DAA9B3">
          <w:pPr>
            <w:pStyle w:val="11"/>
            <w:tabs>
              <w:tab w:val="right" w:leader="dot" w:pos="8306"/>
            </w:tabs>
            <w:spacing w:line="360" w:lineRule="auto"/>
            <w:rPr>
              <w:rFonts w:hint="eastAsia" w:ascii="宋体" w:hAnsi="宋体" w:eastAsia="宋体" w:cs="宋体"/>
            </w:rPr>
          </w:pPr>
          <w:r>
            <w:rPr>
              <w:rFonts w:hint="eastAsia" w:ascii="宋体" w:hAnsi="宋体" w:eastAsia="宋体" w:cs="宋体"/>
              <w:bCs/>
              <w:lang w:val="zh-CN"/>
            </w:rPr>
            <w:fldChar w:fldCharType="begin"/>
          </w:r>
          <w:r>
            <w:rPr>
              <w:rFonts w:hint="eastAsia" w:ascii="宋体" w:hAnsi="宋体" w:eastAsia="宋体" w:cs="宋体"/>
              <w:bCs/>
              <w:lang w:val="zh-CN"/>
            </w:rPr>
            <w:instrText xml:space="preserve"> HYPERLINK \l _Toc32153 </w:instrText>
          </w:r>
          <w:r>
            <w:rPr>
              <w:rFonts w:hint="eastAsia" w:ascii="宋体" w:hAnsi="宋体" w:eastAsia="宋体" w:cs="宋体"/>
              <w:bCs/>
              <w:lang w:val="zh-CN"/>
            </w:rPr>
            <w:fldChar w:fldCharType="separate"/>
          </w:r>
          <w:r>
            <w:rPr>
              <w:rFonts w:hint="eastAsia" w:ascii="宋体" w:hAnsi="宋体" w:eastAsia="宋体" w:cs="宋体"/>
              <w:lang w:val="en-US" w:eastAsia="zh-CN"/>
            </w:rPr>
            <w:t>5.2 受冲突影响与高风险地区（下称“</w:t>
          </w:r>
          <w:r>
            <w:rPr>
              <w:rFonts w:hint="eastAsia" w:ascii="宋体" w:hAnsi="宋体" w:eastAsia="宋体" w:cs="宋体"/>
              <w:lang w:eastAsia="zh-CN"/>
            </w:rPr>
            <w:t>CAHRAs”）识别</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_Toc32153 \h </w:instrText>
          </w:r>
          <w:r>
            <w:rPr>
              <w:rFonts w:hint="eastAsia" w:ascii="宋体" w:hAnsi="宋体" w:eastAsia="宋体" w:cs="宋体"/>
            </w:rPr>
            <w:fldChar w:fldCharType="separate"/>
          </w:r>
          <w:r>
            <w:rPr>
              <w:rFonts w:hint="eastAsia" w:ascii="宋体" w:hAnsi="宋体" w:eastAsia="宋体" w:cs="宋体"/>
            </w:rPr>
            <w:t>10</w:t>
          </w:r>
          <w:r>
            <w:rPr>
              <w:rFonts w:hint="eastAsia" w:ascii="宋体" w:hAnsi="宋体" w:eastAsia="宋体" w:cs="宋体"/>
            </w:rPr>
            <w:fldChar w:fldCharType="end"/>
          </w:r>
          <w:r>
            <w:rPr>
              <w:rFonts w:hint="eastAsia" w:ascii="宋体" w:hAnsi="宋体" w:eastAsia="宋体" w:cs="宋体"/>
              <w:bCs/>
              <w:lang w:val="zh-CN"/>
            </w:rPr>
            <w:fldChar w:fldCharType="end"/>
          </w:r>
        </w:p>
        <w:p w14:paraId="5918B262">
          <w:pPr>
            <w:pStyle w:val="11"/>
            <w:tabs>
              <w:tab w:val="right" w:leader="dot" w:pos="8306"/>
            </w:tabs>
            <w:spacing w:line="360" w:lineRule="auto"/>
            <w:rPr>
              <w:rFonts w:hint="eastAsia" w:ascii="宋体" w:hAnsi="宋体" w:eastAsia="宋体" w:cs="宋体"/>
            </w:rPr>
          </w:pPr>
          <w:r>
            <w:rPr>
              <w:rFonts w:hint="eastAsia" w:ascii="宋体" w:hAnsi="宋体" w:eastAsia="宋体" w:cs="宋体"/>
              <w:bCs/>
              <w:lang w:val="zh-CN"/>
            </w:rPr>
            <w:fldChar w:fldCharType="begin"/>
          </w:r>
          <w:r>
            <w:rPr>
              <w:rFonts w:hint="eastAsia" w:ascii="宋体" w:hAnsi="宋体" w:eastAsia="宋体" w:cs="宋体"/>
              <w:bCs/>
              <w:lang w:val="zh-CN"/>
            </w:rPr>
            <w:instrText xml:space="preserve"> HYPERLINK \l _Toc26865 </w:instrText>
          </w:r>
          <w:r>
            <w:rPr>
              <w:rFonts w:hint="eastAsia" w:ascii="宋体" w:hAnsi="宋体" w:eastAsia="宋体" w:cs="宋体"/>
              <w:bCs/>
              <w:lang w:val="zh-CN"/>
            </w:rPr>
            <w:fldChar w:fldCharType="separate"/>
          </w:r>
          <w:r>
            <w:rPr>
              <w:rFonts w:hint="eastAsia" w:ascii="宋体" w:hAnsi="宋体" w:eastAsia="宋体" w:cs="宋体"/>
              <w:lang w:val="en-US" w:eastAsia="zh-CN"/>
            </w:rPr>
            <w:t>5</w:t>
          </w:r>
          <w:r>
            <w:rPr>
              <w:rFonts w:hint="eastAsia" w:ascii="宋体" w:hAnsi="宋体" w:eastAsia="宋体" w:cs="宋体"/>
              <w:lang w:eastAsia="zh-CN"/>
            </w:rPr>
            <w:t>.</w:t>
          </w:r>
          <w:r>
            <w:rPr>
              <w:rFonts w:hint="eastAsia" w:ascii="宋体" w:hAnsi="宋体" w:eastAsia="宋体" w:cs="宋体"/>
              <w:lang w:val="en-US" w:eastAsia="zh-CN"/>
            </w:rPr>
            <w:t>3</w:t>
          </w:r>
          <w:r>
            <w:rPr>
              <w:rFonts w:hint="eastAsia" w:ascii="宋体" w:hAnsi="宋体" w:eastAsia="宋体" w:cs="宋体"/>
              <w:lang w:eastAsia="zh-CN"/>
            </w:rPr>
            <w:t xml:space="preserve"> </w:t>
          </w:r>
          <w:r>
            <w:rPr>
              <w:rFonts w:hint="eastAsia" w:ascii="宋体" w:hAnsi="宋体" w:eastAsia="宋体" w:cs="宋体"/>
              <w:lang w:val="en-US" w:eastAsia="zh-CN"/>
            </w:rPr>
            <w:t>警示信号审查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_Toc26865 \h </w:instrText>
          </w:r>
          <w:r>
            <w:rPr>
              <w:rFonts w:hint="eastAsia" w:ascii="宋体" w:hAnsi="宋体" w:eastAsia="宋体" w:cs="宋体"/>
            </w:rPr>
            <w:fldChar w:fldCharType="separate"/>
          </w:r>
          <w:r>
            <w:rPr>
              <w:rFonts w:hint="eastAsia" w:ascii="宋体" w:hAnsi="宋体" w:eastAsia="宋体" w:cs="宋体"/>
            </w:rPr>
            <w:t>11</w:t>
          </w:r>
          <w:r>
            <w:rPr>
              <w:rFonts w:hint="eastAsia" w:ascii="宋体" w:hAnsi="宋体" w:eastAsia="宋体" w:cs="宋体"/>
            </w:rPr>
            <w:fldChar w:fldCharType="end"/>
          </w:r>
          <w:r>
            <w:rPr>
              <w:rFonts w:hint="eastAsia" w:ascii="宋体" w:hAnsi="宋体" w:eastAsia="宋体" w:cs="宋体"/>
              <w:bCs/>
              <w:lang w:val="zh-CN"/>
            </w:rPr>
            <w:fldChar w:fldCharType="end"/>
          </w:r>
        </w:p>
        <w:p w14:paraId="7ACCF86A">
          <w:pPr>
            <w:pStyle w:val="11"/>
            <w:tabs>
              <w:tab w:val="right" w:leader="dot" w:pos="8306"/>
            </w:tabs>
            <w:spacing w:line="360" w:lineRule="auto"/>
            <w:rPr>
              <w:rFonts w:hint="eastAsia" w:ascii="宋体" w:hAnsi="宋体" w:eastAsia="宋体" w:cs="宋体"/>
            </w:rPr>
          </w:pPr>
          <w:r>
            <w:rPr>
              <w:rFonts w:hint="eastAsia" w:ascii="宋体" w:hAnsi="宋体" w:eastAsia="宋体" w:cs="宋体"/>
              <w:bCs/>
              <w:lang w:val="zh-CN"/>
            </w:rPr>
            <w:fldChar w:fldCharType="begin"/>
          </w:r>
          <w:r>
            <w:rPr>
              <w:rFonts w:hint="eastAsia" w:ascii="宋体" w:hAnsi="宋体" w:eastAsia="宋体" w:cs="宋体"/>
              <w:bCs/>
              <w:lang w:val="zh-CN"/>
            </w:rPr>
            <w:instrText xml:space="preserve"> HYPERLINK \l _Toc1218 </w:instrText>
          </w:r>
          <w:r>
            <w:rPr>
              <w:rFonts w:hint="eastAsia" w:ascii="宋体" w:hAnsi="宋体" w:eastAsia="宋体" w:cs="宋体"/>
              <w:bCs/>
              <w:lang w:val="zh-CN"/>
            </w:rPr>
            <w:fldChar w:fldCharType="separate"/>
          </w:r>
          <w:r>
            <w:rPr>
              <w:rFonts w:hint="eastAsia" w:ascii="宋体" w:hAnsi="宋体" w:eastAsia="宋体" w:cs="宋体"/>
              <w:lang w:val="en-US" w:eastAsia="zh-CN"/>
            </w:rPr>
            <w:t>5</w:t>
          </w:r>
          <w:r>
            <w:rPr>
              <w:rFonts w:hint="eastAsia" w:ascii="宋体" w:hAnsi="宋体" w:eastAsia="宋体" w:cs="宋体"/>
              <w:lang w:eastAsia="zh-CN"/>
            </w:rPr>
            <w:t>.</w:t>
          </w:r>
          <w:r>
            <w:rPr>
              <w:rFonts w:hint="eastAsia" w:ascii="宋体" w:hAnsi="宋体" w:eastAsia="宋体" w:cs="宋体"/>
              <w:lang w:val="en-US" w:eastAsia="zh-CN"/>
            </w:rPr>
            <w:t>4</w:t>
          </w:r>
          <w:r>
            <w:rPr>
              <w:rFonts w:hint="eastAsia" w:ascii="宋体" w:hAnsi="宋体" w:eastAsia="宋体" w:cs="宋体"/>
              <w:lang w:eastAsia="zh-CN"/>
            </w:rPr>
            <w:t xml:space="preserve"> </w:t>
          </w:r>
          <w:r>
            <w:rPr>
              <w:rFonts w:hint="eastAsia" w:ascii="宋体" w:hAnsi="宋体" w:eastAsia="宋体" w:cs="宋体"/>
              <w:lang w:val="en-US" w:eastAsia="zh-CN"/>
            </w:rPr>
            <w:t>风险识别与评估结果</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_Toc1218 \h </w:instrText>
          </w:r>
          <w:r>
            <w:rPr>
              <w:rFonts w:hint="eastAsia" w:ascii="宋体" w:hAnsi="宋体" w:eastAsia="宋体" w:cs="宋体"/>
            </w:rPr>
            <w:fldChar w:fldCharType="separate"/>
          </w:r>
          <w:r>
            <w:rPr>
              <w:rFonts w:hint="eastAsia" w:ascii="宋体" w:hAnsi="宋体" w:eastAsia="宋体" w:cs="宋体"/>
            </w:rPr>
            <w:t>13</w:t>
          </w:r>
          <w:r>
            <w:rPr>
              <w:rFonts w:hint="eastAsia" w:ascii="宋体" w:hAnsi="宋体" w:eastAsia="宋体" w:cs="宋体"/>
            </w:rPr>
            <w:fldChar w:fldCharType="end"/>
          </w:r>
          <w:r>
            <w:rPr>
              <w:rFonts w:hint="eastAsia" w:ascii="宋体" w:hAnsi="宋体" w:eastAsia="宋体" w:cs="宋体"/>
              <w:bCs/>
              <w:lang w:val="zh-CN"/>
            </w:rPr>
            <w:fldChar w:fldCharType="end"/>
          </w:r>
        </w:p>
        <w:p w14:paraId="39678118">
          <w:pPr>
            <w:pStyle w:val="9"/>
            <w:tabs>
              <w:tab w:val="right" w:leader="dot" w:pos="8306"/>
            </w:tabs>
            <w:spacing w:line="360" w:lineRule="auto"/>
            <w:rPr>
              <w:rFonts w:hint="eastAsia" w:ascii="宋体" w:hAnsi="宋体" w:eastAsia="宋体" w:cs="宋体"/>
            </w:rPr>
          </w:pPr>
          <w:r>
            <w:rPr>
              <w:rFonts w:hint="eastAsia" w:ascii="宋体" w:hAnsi="宋体" w:eastAsia="宋体" w:cs="宋体"/>
              <w:bCs/>
              <w:lang w:val="zh-CN"/>
            </w:rPr>
            <w:fldChar w:fldCharType="begin"/>
          </w:r>
          <w:r>
            <w:rPr>
              <w:rFonts w:hint="eastAsia" w:ascii="宋体" w:hAnsi="宋体" w:eastAsia="宋体" w:cs="宋体"/>
              <w:bCs/>
              <w:lang w:val="zh-CN"/>
            </w:rPr>
            <w:instrText xml:space="preserve"> HYPERLINK \l _Toc27375 </w:instrText>
          </w:r>
          <w:r>
            <w:rPr>
              <w:rFonts w:hint="eastAsia" w:ascii="宋体" w:hAnsi="宋体" w:eastAsia="宋体" w:cs="宋体"/>
              <w:bCs/>
              <w:lang w:val="zh-CN"/>
            </w:rPr>
            <w:fldChar w:fldCharType="separate"/>
          </w:r>
          <w:r>
            <w:rPr>
              <w:rFonts w:hint="eastAsia" w:ascii="宋体" w:hAnsi="宋体" w:eastAsia="宋体" w:cs="宋体"/>
              <w:lang w:val="en-US" w:eastAsia="zh-CN"/>
            </w:rPr>
            <w:t>6</w:t>
          </w:r>
          <w:r>
            <w:rPr>
              <w:rFonts w:hint="eastAsia" w:ascii="宋体" w:hAnsi="宋体" w:eastAsia="宋体" w:cs="宋体"/>
              <w:lang w:eastAsia="zh-CN"/>
            </w:rPr>
            <w:t xml:space="preserve"> </w:t>
          </w:r>
          <w:r>
            <w:rPr>
              <w:rFonts w:hint="eastAsia" w:ascii="宋体" w:hAnsi="宋体" w:eastAsia="宋体" w:cs="宋体"/>
              <w:lang w:val="en-US" w:eastAsia="zh-CN"/>
            </w:rPr>
            <w:t>风险预防和缓解</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_Toc27375 \h </w:instrText>
          </w:r>
          <w:r>
            <w:rPr>
              <w:rFonts w:hint="eastAsia" w:ascii="宋体" w:hAnsi="宋体" w:eastAsia="宋体" w:cs="宋体"/>
            </w:rPr>
            <w:fldChar w:fldCharType="separate"/>
          </w:r>
          <w:r>
            <w:rPr>
              <w:rFonts w:hint="eastAsia" w:ascii="宋体" w:hAnsi="宋体" w:eastAsia="宋体" w:cs="宋体"/>
            </w:rPr>
            <w:t>13</w:t>
          </w:r>
          <w:r>
            <w:rPr>
              <w:rFonts w:hint="eastAsia" w:ascii="宋体" w:hAnsi="宋体" w:eastAsia="宋体" w:cs="宋体"/>
            </w:rPr>
            <w:fldChar w:fldCharType="end"/>
          </w:r>
          <w:r>
            <w:rPr>
              <w:rFonts w:hint="eastAsia" w:ascii="宋体" w:hAnsi="宋体" w:eastAsia="宋体" w:cs="宋体"/>
              <w:bCs/>
              <w:lang w:val="zh-CN"/>
            </w:rPr>
            <w:fldChar w:fldCharType="end"/>
          </w:r>
        </w:p>
        <w:p w14:paraId="4DCC6297">
          <w:pPr>
            <w:pStyle w:val="11"/>
            <w:tabs>
              <w:tab w:val="right" w:leader="dot" w:pos="8306"/>
            </w:tabs>
            <w:spacing w:line="360" w:lineRule="auto"/>
            <w:rPr>
              <w:rFonts w:hint="eastAsia" w:ascii="宋体" w:hAnsi="宋体" w:eastAsia="宋体" w:cs="宋体"/>
            </w:rPr>
          </w:pPr>
          <w:r>
            <w:rPr>
              <w:rFonts w:hint="eastAsia" w:ascii="宋体" w:hAnsi="宋体" w:eastAsia="宋体" w:cs="宋体"/>
              <w:bCs/>
              <w:lang w:val="zh-CN"/>
            </w:rPr>
            <w:fldChar w:fldCharType="begin"/>
          </w:r>
          <w:r>
            <w:rPr>
              <w:rFonts w:hint="eastAsia" w:ascii="宋体" w:hAnsi="宋体" w:eastAsia="宋体" w:cs="宋体"/>
              <w:bCs/>
              <w:lang w:val="zh-CN"/>
            </w:rPr>
            <w:instrText xml:space="preserve"> HYPERLINK \l _Toc20988 </w:instrText>
          </w:r>
          <w:r>
            <w:rPr>
              <w:rFonts w:hint="eastAsia" w:ascii="宋体" w:hAnsi="宋体" w:eastAsia="宋体" w:cs="宋体"/>
              <w:bCs/>
              <w:lang w:val="zh-CN"/>
            </w:rPr>
            <w:fldChar w:fldCharType="separate"/>
          </w:r>
          <w:r>
            <w:rPr>
              <w:rFonts w:hint="eastAsia" w:ascii="宋体" w:hAnsi="宋体" w:eastAsia="宋体" w:cs="宋体"/>
              <w:lang w:val="en-US" w:eastAsia="zh-CN"/>
            </w:rPr>
            <w:t>6</w:t>
          </w:r>
          <w:r>
            <w:rPr>
              <w:rFonts w:hint="eastAsia" w:ascii="宋体" w:hAnsi="宋体" w:eastAsia="宋体" w:cs="宋体"/>
              <w:lang w:eastAsia="zh-CN"/>
            </w:rPr>
            <w:t>.1 风险减缓策略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_Toc20988 \h </w:instrText>
          </w:r>
          <w:r>
            <w:rPr>
              <w:rFonts w:hint="eastAsia" w:ascii="宋体" w:hAnsi="宋体" w:eastAsia="宋体" w:cs="宋体"/>
            </w:rPr>
            <w:fldChar w:fldCharType="separate"/>
          </w:r>
          <w:r>
            <w:rPr>
              <w:rFonts w:hint="eastAsia" w:ascii="宋体" w:hAnsi="宋体" w:eastAsia="宋体" w:cs="宋体"/>
            </w:rPr>
            <w:t>13</w:t>
          </w:r>
          <w:r>
            <w:rPr>
              <w:rFonts w:hint="eastAsia" w:ascii="宋体" w:hAnsi="宋体" w:eastAsia="宋体" w:cs="宋体"/>
            </w:rPr>
            <w:fldChar w:fldCharType="end"/>
          </w:r>
          <w:r>
            <w:rPr>
              <w:rFonts w:hint="eastAsia" w:ascii="宋体" w:hAnsi="宋体" w:eastAsia="宋体" w:cs="宋体"/>
              <w:bCs/>
              <w:lang w:val="zh-CN"/>
            </w:rPr>
            <w:fldChar w:fldCharType="end"/>
          </w:r>
        </w:p>
        <w:p w14:paraId="130B1CEE">
          <w:pPr>
            <w:pStyle w:val="11"/>
            <w:tabs>
              <w:tab w:val="right" w:leader="dot" w:pos="8306"/>
            </w:tabs>
            <w:spacing w:line="360" w:lineRule="auto"/>
            <w:rPr>
              <w:rFonts w:hint="eastAsia" w:ascii="宋体" w:hAnsi="宋体" w:eastAsia="宋体" w:cs="宋体"/>
            </w:rPr>
          </w:pPr>
          <w:r>
            <w:rPr>
              <w:rFonts w:hint="eastAsia" w:ascii="宋体" w:hAnsi="宋体" w:eastAsia="宋体" w:cs="宋体"/>
              <w:bCs/>
              <w:lang w:val="zh-CN"/>
            </w:rPr>
            <w:fldChar w:fldCharType="begin"/>
          </w:r>
          <w:r>
            <w:rPr>
              <w:rFonts w:hint="eastAsia" w:ascii="宋体" w:hAnsi="宋体" w:eastAsia="宋体" w:cs="宋体"/>
              <w:bCs/>
              <w:lang w:val="zh-CN"/>
            </w:rPr>
            <w:instrText xml:space="preserve"> HYPERLINK \l _Toc15561 </w:instrText>
          </w:r>
          <w:r>
            <w:rPr>
              <w:rFonts w:hint="eastAsia" w:ascii="宋体" w:hAnsi="宋体" w:eastAsia="宋体" w:cs="宋体"/>
              <w:bCs/>
              <w:lang w:val="zh-CN"/>
            </w:rPr>
            <w:fldChar w:fldCharType="separate"/>
          </w:r>
          <w:r>
            <w:rPr>
              <w:rFonts w:hint="eastAsia" w:ascii="宋体" w:hAnsi="宋体" w:eastAsia="宋体" w:cs="宋体"/>
              <w:lang w:val="en-US" w:eastAsia="zh-CN"/>
            </w:rPr>
            <w:t>6</w:t>
          </w:r>
          <w:r>
            <w:rPr>
              <w:rFonts w:hint="eastAsia" w:ascii="宋体" w:hAnsi="宋体" w:eastAsia="宋体" w:cs="宋体"/>
              <w:lang w:eastAsia="zh-CN"/>
            </w:rPr>
            <w:t>.2 监测和跟踪风险管理计划</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_Toc15561 \h </w:instrText>
          </w:r>
          <w:r>
            <w:rPr>
              <w:rFonts w:hint="eastAsia" w:ascii="宋体" w:hAnsi="宋体" w:eastAsia="宋体" w:cs="宋体"/>
            </w:rPr>
            <w:fldChar w:fldCharType="separate"/>
          </w:r>
          <w:r>
            <w:rPr>
              <w:rFonts w:hint="eastAsia" w:ascii="宋体" w:hAnsi="宋体" w:eastAsia="宋体" w:cs="宋体"/>
            </w:rPr>
            <w:t>14</w:t>
          </w:r>
          <w:r>
            <w:rPr>
              <w:rFonts w:hint="eastAsia" w:ascii="宋体" w:hAnsi="宋体" w:eastAsia="宋体" w:cs="宋体"/>
            </w:rPr>
            <w:fldChar w:fldCharType="end"/>
          </w:r>
          <w:r>
            <w:rPr>
              <w:rFonts w:hint="eastAsia" w:ascii="宋体" w:hAnsi="宋体" w:eastAsia="宋体" w:cs="宋体"/>
              <w:bCs/>
              <w:lang w:val="zh-CN"/>
            </w:rPr>
            <w:fldChar w:fldCharType="end"/>
          </w:r>
        </w:p>
        <w:p w14:paraId="7CAB63BA">
          <w:pPr>
            <w:pStyle w:val="9"/>
            <w:tabs>
              <w:tab w:val="right" w:leader="dot" w:pos="8306"/>
            </w:tabs>
            <w:spacing w:line="360" w:lineRule="auto"/>
            <w:rPr>
              <w:rFonts w:hint="eastAsia" w:ascii="宋体" w:hAnsi="宋体" w:eastAsia="宋体" w:cs="宋体"/>
            </w:rPr>
          </w:pPr>
          <w:r>
            <w:rPr>
              <w:rFonts w:hint="eastAsia" w:ascii="宋体" w:hAnsi="宋体" w:eastAsia="宋体" w:cs="宋体"/>
              <w:bCs/>
              <w:lang w:val="zh-CN"/>
            </w:rPr>
            <w:fldChar w:fldCharType="begin"/>
          </w:r>
          <w:r>
            <w:rPr>
              <w:rFonts w:hint="eastAsia" w:ascii="宋体" w:hAnsi="宋体" w:eastAsia="宋体" w:cs="宋体"/>
              <w:bCs/>
              <w:lang w:val="zh-CN"/>
            </w:rPr>
            <w:instrText xml:space="preserve"> HYPERLINK \l _Toc5746 </w:instrText>
          </w:r>
          <w:r>
            <w:rPr>
              <w:rFonts w:hint="eastAsia" w:ascii="宋体" w:hAnsi="宋体" w:eastAsia="宋体" w:cs="宋体"/>
              <w:bCs/>
              <w:lang w:val="zh-CN"/>
            </w:rPr>
            <w:fldChar w:fldCharType="separate"/>
          </w:r>
          <w:r>
            <w:rPr>
              <w:rFonts w:hint="eastAsia" w:ascii="宋体" w:hAnsi="宋体" w:eastAsia="宋体" w:cs="宋体"/>
              <w:lang w:val="en-US" w:eastAsia="zh-CN"/>
            </w:rPr>
            <w:t>7</w:t>
          </w:r>
          <w:r>
            <w:rPr>
              <w:rFonts w:hint="eastAsia" w:ascii="宋体" w:hAnsi="宋体" w:eastAsia="宋体" w:cs="宋体"/>
              <w:lang w:eastAsia="zh-CN"/>
            </w:rPr>
            <w:t xml:space="preserve"> </w:t>
          </w:r>
          <w:r>
            <w:rPr>
              <w:rFonts w:hint="eastAsia" w:ascii="宋体" w:hAnsi="宋体" w:eastAsia="宋体" w:cs="宋体"/>
              <w:lang w:val="en-US" w:eastAsia="zh-CN"/>
            </w:rPr>
            <w:t>内外部评估</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_Toc5746 \h </w:instrText>
          </w:r>
          <w:r>
            <w:rPr>
              <w:rFonts w:hint="eastAsia" w:ascii="宋体" w:hAnsi="宋体" w:eastAsia="宋体" w:cs="宋体"/>
            </w:rPr>
            <w:fldChar w:fldCharType="separate"/>
          </w:r>
          <w:r>
            <w:rPr>
              <w:rFonts w:hint="eastAsia" w:ascii="宋体" w:hAnsi="宋体" w:eastAsia="宋体" w:cs="宋体"/>
            </w:rPr>
            <w:t>14</w:t>
          </w:r>
          <w:r>
            <w:rPr>
              <w:rFonts w:hint="eastAsia" w:ascii="宋体" w:hAnsi="宋体" w:eastAsia="宋体" w:cs="宋体"/>
            </w:rPr>
            <w:fldChar w:fldCharType="end"/>
          </w:r>
          <w:r>
            <w:rPr>
              <w:rFonts w:hint="eastAsia" w:ascii="宋体" w:hAnsi="宋体" w:eastAsia="宋体" w:cs="宋体"/>
              <w:bCs/>
              <w:lang w:val="zh-CN"/>
            </w:rPr>
            <w:fldChar w:fldCharType="end"/>
          </w:r>
        </w:p>
        <w:p w14:paraId="4D6E409B">
          <w:pPr>
            <w:pStyle w:val="9"/>
            <w:tabs>
              <w:tab w:val="right" w:leader="dot" w:pos="8306"/>
            </w:tabs>
            <w:spacing w:line="360" w:lineRule="auto"/>
            <w:rPr>
              <w:rFonts w:hint="eastAsia" w:ascii="宋体" w:hAnsi="宋体" w:eastAsia="宋体" w:cs="宋体"/>
            </w:rPr>
          </w:pPr>
          <w:r>
            <w:rPr>
              <w:rFonts w:hint="eastAsia" w:ascii="宋体" w:hAnsi="宋体" w:eastAsia="宋体" w:cs="宋体"/>
              <w:bCs/>
              <w:lang w:val="zh-CN"/>
            </w:rPr>
            <w:fldChar w:fldCharType="begin"/>
          </w:r>
          <w:r>
            <w:rPr>
              <w:rFonts w:hint="eastAsia" w:ascii="宋体" w:hAnsi="宋体" w:eastAsia="宋体" w:cs="宋体"/>
              <w:bCs/>
              <w:lang w:val="zh-CN"/>
            </w:rPr>
            <w:instrText xml:space="preserve"> HYPERLINK \l _Toc3452 </w:instrText>
          </w:r>
          <w:r>
            <w:rPr>
              <w:rFonts w:hint="eastAsia" w:ascii="宋体" w:hAnsi="宋体" w:eastAsia="宋体" w:cs="宋体"/>
              <w:bCs/>
              <w:lang w:val="zh-CN"/>
            </w:rPr>
            <w:fldChar w:fldCharType="separate"/>
          </w:r>
          <w:r>
            <w:rPr>
              <w:rFonts w:hint="eastAsia" w:ascii="宋体" w:hAnsi="宋体" w:eastAsia="宋体" w:cs="宋体"/>
              <w:lang w:val="en-US" w:eastAsia="zh-CN"/>
            </w:rPr>
            <w:t>8</w:t>
          </w:r>
          <w:r>
            <w:rPr>
              <w:rFonts w:hint="eastAsia" w:ascii="宋体" w:hAnsi="宋体" w:eastAsia="宋体" w:cs="宋体"/>
              <w:lang w:eastAsia="zh-CN"/>
            </w:rPr>
            <w:t xml:space="preserve"> </w:t>
          </w:r>
          <w:r>
            <w:rPr>
              <w:rFonts w:hint="eastAsia" w:ascii="宋体" w:hAnsi="宋体" w:eastAsia="宋体" w:cs="宋体"/>
              <w:lang w:val="en-US" w:eastAsia="zh-CN"/>
            </w:rPr>
            <w:t>报告与沟通</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_Toc3452 \h </w:instrText>
          </w:r>
          <w:r>
            <w:rPr>
              <w:rFonts w:hint="eastAsia" w:ascii="宋体" w:hAnsi="宋体" w:eastAsia="宋体" w:cs="宋体"/>
            </w:rPr>
            <w:fldChar w:fldCharType="separate"/>
          </w:r>
          <w:r>
            <w:rPr>
              <w:rFonts w:hint="eastAsia" w:ascii="宋体" w:hAnsi="宋体" w:eastAsia="宋体" w:cs="宋体"/>
            </w:rPr>
            <w:t>14</w:t>
          </w:r>
          <w:r>
            <w:rPr>
              <w:rFonts w:hint="eastAsia" w:ascii="宋体" w:hAnsi="宋体" w:eastAsia="宋体" w:cs="宋体"/>
            </w:rPr>
            <w:fldChar w:fldCharType="end"/>
          </w:r>
          <w:r>
            <w:rPr>
              <w:rFonts w:hint="eastAsia" w:ascii="宋体" w:hAnsi="宋体" w:eastAsia="宋体" w:cs="宋体"/>
              <w:bCs/>
              <w:lang w:val="zh-CN"/>
            </w:rPr>
            <w:fldChar w:fldCharType="end"/>
          </w:r>
        </w:p>
        <w:p w14:paraId="247FDAD8">
          <w:pPr>
            <w:pStyle w:val="9"/>
            <w:tabs>
              <w:tab w:val="right" w:leader="dot" w:pos="8306"/>
            </w:tabs>
            <w:spacing w:line="360" w:lineRule="auto"/>
            <w:rPr>
              <w:rFonts w:hint="eastAsia" w:ascii="宋体" w:hAnsi="宋体" w:eastAsia="宋体" w:cs="宋体"/>
            </w:rPr>
          </w:pPr>
          <w:r>
            <w:rPr>
              <w:rFonts w:hint="eastAsia" w:ascii="宋体" w:hAnsi="宋体" w:eastAsia="宋体" w:cs="宋体"/>
              <w:bCs/>
              <w:lang w:val="zh-CN"/>
            </w:rPr>
            <w:fldChar w:fldCharType="begin"/>
          </w:r>
          <w:r>
            <w:rPr>
              <w:rFonts w:hint="eastAsia" w:ascii="宋体" w:hAnsi="宋体" w:eastAsia="宋体" w:cs="宋体"/>
              <w:bCs/>
              <w:lang w:val="zh-CN"/>
            </w:rPr>
            <w:instrText xml:space="preserve"> HYPERLINK \l _Toc26051 </w:instrText>
          </w:r>
          <w:r>
            <w:rPr>
              <w:rFonts w:hint="eastAsia" w:ascii="宋体" w:hAnsi="宋体" w:eastAsia="宋体" w:cs="宋体"/>
              <w:bCs/>
              <w:lang w:val="zh-CN"/>
            </w:rPr>
            <w:fldChar w:fldCharType="separate"/>
          </w:r>
          <w:r>
            <w:rPr>
              <w:rFonts w:hint="eastAsia" w:ascii="宋体" w:hAnsi="宋体" w:eastAsia="宋体" w:cs="宋体"/>
              <w:lang w:val="en-US" w:eastAsia="zh-CN"/>
            </w:rPr>
            <w:t>9</w:t>
          </w:r>
          <w:r>
            <w:rPr>
              <w:rFonts w:hint="eastAsia" w:ascii="宋体" w:hAnsi="宋体" w:eastAsia="宋体" w:cs="宋体"/>
              <w:lang w:eastAsia="zh-CN"/>
            </w:rPr>
            <w:t xml:space="preserve"> </w:t>
          </w:r>
          <w:r>
            <w:rPr>
              <w:rFonts w:hint="eastAsia" w:ascii="宋体" w:hAnsi="宋体" w:eastAsia="宋体" w:cs="宋体"/>
              <w:lang w:val="en-US" w:eastAsia="zh-CN"/>
            </w:rPr>
            <w:t>适时提供条件或开展合作进行补救</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_Toc26051 \h </w:instrText>
          </w:r>
          <w:r>
            <w:rPr>
              <w:rFonts w:hint="eastAsia" w:ascii="宋体" w:hAnsi="宋体" w:eastAsia="宋体" w:cs="宋体"/>
            </w:rPr>
            <w:fldChar w:fldCharType="separate"/>
          </w:r>
          <w:r>
            <w:rPr>
              <w:rFonts w:hint="eastAsia" w:ascii="宋体" w:hAnsi="宋体" w:eastAsia="宋体" w:cs="宋体"/>
            </w:rPr>
            <w:t>15</w:t>
          </w:r>
          <w:r>
            <w:rPr>
              <w:rFonts w:hint="eastAsia" w:ascii="宋体" w:hAnsi="宋体" w:eastAsia="宋体" w:cs="宋体"/>
            </w:rPr>
            <w:fldChar w:fldCharType="end"/>
          </w:r>
          <w:r>
            <w:rPr>
              <w:rFonts w:hint="eastAsia" w:ascii="宋体" w:hAnsi="宋体" w:eastAsia="宋体" w:cs="宋体"/>
              <w:bCs/>
              <w:lang w:val="zh-CN"/>
            </w:rPr>
            <w:fldChar w:fldCharType="end"/>
          </w:r>
        </w:p>
        <w:p w14:paraId="117646E7">
          <w:pPr>
            <w:pStyle w:val="9"/>
            <w:tabs>
              <w:tab w:val="right" w:leader="dot" w:pos="8306"/>
            </w:tabs>
            <w:spacing w:line="360" w:lineRule="auto"/>
            <w:rPr>
              <w:rFonts w:hint="eastAsia" w:ascii="宋体" w:hAnsi="宋体" w:eastAsia="宋体" w:cs="宋体"/>
            </w:rPr>
          </w:pPr>
          <w:r>
            <w:rPr>
              <w:rFonts w:hint="eastAsia" w:ascii="宋体" w:hAnsi="宋体" w:eastAsia="宋体" w:cs="宋体"/>
              <w:bCs/>
              <w:lang w:val="zh-CN"/>
            </w:rPr>
            <w:fldChar w:fldCharType="begin"/>
          </w:r>
          <w:r>
            <w:rPr>
              <w:rFonts w:hint="eastAsia" w:ascii="宋体" w:hAnsi="宋体" w:eastAsia="宋体" w:cs="宋体"/>
              <w:bCs/>
              <w:lang w:val="zh-CN"/>
            </w:rPr>
            <w:instrText xml:space="preserve"> HYPERLINK \l _Toc2157 </w:instrText>
          </w:r>
          <w:r>
            <w:rPr>
              <w:rFonts w:hint="eastAsia" w:ascii="宋体" w:hAnsi="宋体" w:eastAsia="宋体" w:cs="宋体"/>
              <w:bCs/>
              <w:lang w:val="zh-CN"/>
            </w:rPr>
            <w:fldChar w:fldCharType="separate"/>
          </w:r>
          <w:r>
            <w:rPr>
              <w:rFonts w:hint="eastAsia" w:ascii="宋体" w:hAnsi="宋体" w:eastAsia="宋体" w:cs="宋体"/>
              <w:lang w:val="en-US" w:eastAsia="zh-CN"/>
            </w:rPr>
            <w:t xml:space="preserve">10 </w:t>
          </w:r>
          <w:r>
            <w:rPr>
              <w:rFonts w:hint="eastAsia" w:ascii="宋体" w:hAnsi="宋体" w:eastAsia="宋体" w:cs="宋体"/>
              <w:lang w:eastAsia="zh-CN"/>
            </w:rPr>
            <w:t>培训</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_Toc2157 \h </w:instrText>
          </w:r>
          <w:r>
            <w:rPr>
              <w:rFonts w:hint="eastAsia" w:ascii="宋体" w:hAnsi="宋体" w:eastAsia="宋体" w:cs="宋体"/>
            </w:rPr>
            <w:fldChar w:fldCharType="separate"/>
          </w:r>
          <w:r>
            <w:rPr>
              <w:rFonts w:hint="eastAsia" w:ascii="宋体" w:hAnsi="宋体" w:eastAsia="宋体" w:cs="宋体"/>
            </w:rPr>
            <w:t>15</w:t>
          </w:r>
          <w:r>
            <w:rPr>
              <w:rFonts w:hint="eastAsia" w:ascii="宋体" w:hAnsi="宋体" w:eastAsia="宋体" w:cs="宋体"/>
            </w:rPr>
            <w:fldChar w:fldCharType="end"/>
          </w:r>
          <w:r>
            <w:rPr>
              <w:rFonts w:hint="eastAsia" w:ascii="宋体" w:hAnsi="宋体" w:eastAsia="宋体" w:cs="宋体"/>
              <w:bCs/>
              <w:lang w:val="zh-CN"/>
            </w:rPr>
            <w:fldChar w:fldCharType="end"/>
          </w:r>
        </w:p>
        <w:p w14:paraId="310ADF69">
          <w:pPr>
            <w:pStyle w:val="9"/>
            <w:tabs>
              <w:tab w:val="right" w:leader="dot" w:pos="8306"/>
            </w:tabs>
            <w:spacing w:line="360" w:lineRule="auto"/>
            <w:rPr>
              <w:rFonts w:hint="eastAsia" w:ascii="宋体" w:hAnsi="宋体" w:eastAsia="宋体" w:cs="宋体"/>
            </w:rPr>
          </w:pPr>
          <w:r>
            <w:rPr>
              <w:rFonts w:hint="eastAsia" w:ascii="宋体" w:hAnsi="宋体" w:eastAsia="宋体" w:cs="宋体"/>
              <w:bCs/>
              <w:lang w:val="zh-CN"/>
            </w:rPr>
            <w:fldChar w:fldCharType="begin"/>
          </w:r>
          <w:r>
            <w:rPr>
              <w:rFonts w:hint="eastAsia" w:ascii="宋体" w:hAnsi="宋体" w:eastAsia="宋体" w:cs="宋体"/>
              <w:bCs/>
              <w:lang w:val="zh-CN"/>
            </w:rPr>
            <w:instrText xml:space="preserve"> HYPERLINK \l _Toc13022 </w:instrText>
          </w:r>
          <w:r>
            <w:rPr>
              <w:rFonts w:hint="eastAsia" w:ascii="宋体" w:hAnsi="宋体" w:eastAsia="宋体" w:cs="宋体"/>
              <w:bCs/>
              <w:lang w:val="zh-CN"/>
            </w:rPr>
            <w:fldChar w:fldCharType="separate"/>
          </w:r>
          <w:r>
            <w:rPr>
              <w:rFonts w:hint="eastAsia" w:ascii="宋体" w:hAnsi="宋体" w:eastAsia="宋体" w:cs="宋体"/>
              <w:lang w:eastAsia="zh-CN"/>
            </w:rPr>
            <w:t>1</w:t>
          </w:r>
          <w:r>
            <w:rPr>
              <w:rFonts w:hint="eastAsia" w:ascii="宋体" w:hAnsi="宋体" w:eastAsia="宋体" w:cs="宋体"/>
              <w:lang w:val="en-US" w:eastAsia="zh-CN"/>
            </w:rPr>
            <w:t xml:space="preserve">1 </w:t>
          </w:r>
          <w:r>
            <w:rPr>
              <w:rFonts w:hint="eastAsia" w:ascii="宋体" w:hAnsi="宋体" w:eastAsia="宋体" w:cs="宋体"/>
              <w:lang w:eastAsia="zh-CN"/>
            </w:rPr>
            <w:t>申诉机制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_Toc13022 \h </w:instrText>
          </w:r>
          <w:r>
            <w:rPr>
              <w:rFonts w:hint="eastAsia" w:ascii="宋体" w:hAnsi="宋体" w:eastAsia="宋体" w:cs="宋体"/>
            </w:rPr>
            <w:fldChar w:fldCharType="separate"/>
          </w:r>
          <w:r>
            <w:rPr>
              <w:rFonts w:hint="eastAsia" w:ascii="宋体" w:hAnsi="宋体" w:eastAsia="宋体" w:cs="宋体"/>
            </w:rPr>
            <w:t>15</w:t>
          </w:r>
          <w:r>
            <w:rPr>
              <w:rFonts w:hint="eastAsia" w:ascii="宋体" w:hAnsi="宋体" w:eastAsia="宋体" w:cs="宋体"/>
            </w:rPr>
            <w:fldChar w:fldCharType="end"/>
          </w:r>
          <w:r>
            <w:rPr>
              <w:rFonts w:hint="eastAsia" w:ascii="宋体" w:hAnsi="宋体" w:eastAsia="宋体" w:cs="宋体"/>
              <w:bCs/>
              <w:lang w:val="zh-CN"/>
            </w:rPr>
            <w:fldChar w:fldCharType="end"/>
          </w:r>
        </w:p>
        <w:p w14:paraId="7329A06C">
          <w:pPr>
            <w:pStyle w:val="9"/>
            <w:tabs>
              <w:tab w:val="right" w:leader="dot" w:pos="8306"/>
            </w:tabs>
            <w:spacing w:line="360" w:lineRule="auto"/>
            <w:rPr>
              <w:rFonts w:hint="eastAsia" w:ascii="宋体" w:hAnsi="宋体" w:eastAsia="宋体" w:cs="宋体"/>
            </w:rPr>
          </w:pPr>
          <w:r>
            <w:rPr>
              <w:rFonts w:hint="eastAsia" w:ascii="宋体" w:hAnsi="宋体" w:eastAsia="宋体" w:cs="宋体"/>
              <w:bCs/>
              <w:lang w:val="zh-CN"/>
            </w:rPr>
            <w:fldChar w:fldCharType="begin"/>
          </w:r>
          <w:r>
            <w:rPr>
              <w:rFonts w:hint="eastAsia" w:ascii="宋体" w:hAnsi="宋体" w:eastAsia="宋体" w:cs="宋体"/>
              <w:bCs/>
              <w:lang w:val="zh-CN"/>
            </w:rPr>
            <w:instrText xml:space="preserve"> HYPERLINK \l _Toc32111 </w:instrText>
          </w:r>
          <w:r>
            <w:rPr>
              <w:rFonts w:hint="eastAsia" w:ascii="宋体" w:hAnsi="宋体" w:eastAsia="宋体" w:cs="宋体"/>
              <w:bCs/>
              <w:lang w:val="zh-CN"/>
            </w:rPr>
            <w:fldChar w:fldCharType="separate"/>
          </w:r>
          <w:r>
            <w:rPr>
              <w:rFonts w:hint="eastAsia" w:ascii="宋体" w:hAnsi="宋体" w:eastAsia="宋体" w:cs="宋体"/>
              <w:bCs w:val="0"/>
              <w:lang w:val="en-US" w:eastAsia="zh-CN"/>
            </w:rPr>
            <w:t xml:space="preserve">12 </w:t>
          </w:r>
          <w:r>
            <w:rPr>
              <w:rFonts w:hint="eastAsia" w:ascii="宋体" w:hAnsi="宋体" w:eastAsia="宋体" w:cs="宋体"/>
              <w:lang w:val="en-US" w:eastAsia="zh-CN"/>
            </w:rPr>
            <w:t>EITI要求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_Toc32111 \h </w:instrText>
          </w:r>
          <w:r>
            <w:rPr>
              <w:rFonts w:hint="eastAsia" w:ascii="宋体" w:hAnsi="宋体" w:eastAsia="宋体" w:cs="宋体"/>
            </w:rPr>
            <w:fldChar w:fldCharType="separate"/>
          </w:r>
          <w:r>
            <w:rPr>
              <w:rFonts w:hint="eastAsia" w:ascii="宋体" w:hAnsi="宋体" w:eastAsia="宋体" w:cs="宋体"/>
            </w:rPr>
            <w:t>17</w:t>
          </w:r>
          <w:r>
            <w:rPr>
              <w:rFonts w:hint="eastAsia" w:ascii="宋体" w:hAnsi="宋体" w:eastAsia="宋体" w:cs="宋体"/>
            </w:rPr>
            <w:fldChar w:fldCharType="end"/>
          </w:r>
          <w:r>
            <w:rPr>
              <w:rFonts w:hint="eastAsia" w:ascii="宋体" w:hAnsi="宋体" w:eastAsia="宋体" w:cs="宋体"/>
              <w:bCs/>
              <w:lang w:val="zh-CN"/>
            </w:rPr>
            <w:fldChar w:fldCharType="end"/>
          </w:r>
        </w:p>
        <w:p w14:paraId="023B74DF">
          <w:pPr>
            <w:spacing w:line="360" w:lineRule="auto"/>
            <w:rPr>
              <w:rFonts w:hint="eastAsia" w:ascii="宋体" w:hAnsi="宋体" w:eastAsia="宋体" w:cs="宋体"/>
              <w:lang w:eastAsia="zh-CN"/>
            </w:rPr>
          </w:pPr>
          <w:r>
            <w:rPr>
              <w:rFonts w:hint="eastAsia" w:ascii="宋体" w:hAnsi="宋体" w:eastAsia="宋体" w:cs="宋体"/>
              <w:b/>
              <w:bCs/>
              <w:lang w:val="zh-CN"/>
            </w:rPr>
            <w:fldChar w:fldCharType="end"/>
          </w:r>
        </w:p>
      </w:sdtContent>
    </w:sdt>
    <w:p w14:paraId="01D2A8CC">
      <w:pPr>
        <w:pStyle w:val="2"/>
        <w:spacing w:line="360" w:lineRule="auto"/>
        <w:rPr>
          <w:rFonts w:hint="eastAsia" w:ascii="宋体" w:hAnsi="宋体" w:eastAsia="宋体" w:cs="宋体"/>
          <w:lang w:eastAsia="zh-CN"/>
        </w:rPr>
      </w:pPr>
      <w:bookmarkStart w:id="0" w:name="_Toc11577"/>
      <w:bookmarkStart w:id="1" w:name="_Toc1937"/>
      <w:bookmarkStart w:id="2" w:name="_Toc211098162"/>
      <w:bookmarkStart w:id="3" w:name="_Toc25045"/>
      <w:r>
        <w:rPr>
          <w:rFonts w:hint="eastAsia" w:ascii="宋体" w:hAnsi="宋体" w:eastAsia="宋体" w:cs="宋体"/>
          <w:lang w:eastAsia="zh-CN"/>
        </w:rPr>
        <w:t>1 报告编制说明</w:t>
      </w:r>
      <w:bookmarkEnd w:id="0"/>
      <w:bookmarkEnd w:id="1"/>
      <w:bookmarkEnd w:id="2"/>
      <w:bookmarkEnd w:id="3"/>
    </w:p>
    <w:p w14:paraId="69225D04">
      <w:pPr>
        <w:pStyle w:val="3"/>
        <w:spacing w:line="360" w:lineRule="auto"/>
        <w:rPr>
          <w:rFonts w:hint="eastAsia" w:ascii="宋体" w:hAnsi="宋体" w:eastAsia="宋体" w:cs="宋体"/>
          <w:lang w:eastAsia="zh-CN"/>
        </w:rPr>
      </w:pPr>
      <w:bookmarkStart w:id="4" w:name="_Toc4751"/>
      <w:bookmarkStart w:id="5" w:name="_Toc211098163"/>
      <w:bookmarkStart w:id="6" w:name="_Toc19106"/>
      <w:bookmarkStart w:id="7" w:name="_Toc11749"/>
      <w:r>
        <w:rPr>
          <w:rFonts w:hint="eastAsia" w:ascii="宋体" w:hAnsi="宋体" w:eastAsia="宋体" w:cs="宋体"/>
          <w:lang w:eastAsia="zh-CN"/>
        </w:rPr>
        <w:t>1.1 报告范围</w:t>
      </w:r>
      <w:bookmarkEnd w:id="4"/>
      <w:bookmarkEnd w:id="5"/>
      <w:bookmarkEnd w:id="6"/>
      <w:bookmarkEnd w:id="7"/>
    </w:p>
    <w:p w14:paraId="56E23046">
      <w:pPr>
        <w:spacing w:line="360" w:lineRule="auto"/>
        <w:rPr>
          <w:rFonts w:hint="eastAsia" w:ascii="宋体" w:hAnsi="宋体" w:eastAsia="宋体" w:cs="宋体"/>
          <w:lang w:eastAsia="zh-CN"/>
        </w:rPr>
      </w:pPr>
      <w:r>
        <w:rPr>
          <w:rFonts w:hint="eastAsia" w:ascii="宋体" w:hAnsi="宋体" w:eastAsia="宋体" w:cs="宋体"/>
          <w:i w:val="0"/>
          <w:iCs w:val="0"/>
          <w:caps w:val="0"/>
          <w:spacing w:val="0"/>
          <w:sz w:val="24"/>
          <w:szCs w:val="24"/>
          <w:shd w:val="clear" w:fill="FFFFFF"/>
        </w:rPr>
        <w:t>本报告所载信息与数据主要涵盖2025年10月1日至2026年9月30日（以下简称"报告期"）期间，江西赣锋锂业集团股份有限公司</w:t>
      </w:r>
      <w:r>
        <w:rPr>
          <w:rFonts w:hint="eastAsia" w:ascii="宋体" w:hAnsi="宋体" w:eastAsia="宋体" w:cs="宋体"/>
          <w:i w:val="0"/>
          <w:iCs w:val="0"/>
          <w:caps w:val="0"/>
          <w:spacing w:val="0"/>
          <w:sz w:val="24"/>
          <w:szCs w:val="24"/>
          <w:shd w:val="clear" w:fill="FFFFFF"/>
          <w:lang w:eastAsia="zh-CN"/>
        </w:rPr>
        <w:t>（</w:t>
      </w:r>
      <w:r>
        <w:rPr>
          <w:rFonts w:hint="eastAsia" w:ascii="宋体" w:hAnsi="宋体" w:eastAsia="宋体" w:cs="宋体"/>
          <w:i w:val="0"/>
          <w:iCs w:val="0"/>
          <w:caps w:val="0"/>
          <w:spacing w:val="0"/>
          <w:sz w:val="24"/>
          <w:szCs w:val="24"/>
          <w:shd w:val="clear" w:fill="FFFFFF"/>
          <w:lang w:val="en-US" w:eastAsia="zh-CN"/>
        </w:rPr>
        <w:t>马洪工厂）</w:t>
      </w:r>
      <w:r>
        <w:rPr>
          <w:rFonts w:hint="eastAsia" w:ascii="宋体" w:hAnsi="宋体" w:eastAsia="宋体" w:cs="宋体"/>
          <w:i w:val="0"/>
          <w:iCs w:val="0"/>
          <w:caps w:val="0"/>
          <w:spacing w:val="0"/>
          <w:sz w:val="24"/>
          <w:szCs w:val="24"/>
          <w:shd w:val="clear" w:fill="FFFFFF"/>
        </w:rPr>
        <w:t>（以下简称"公司"）开展的矿产供应链尽责管理实践。鉴于</w:t>
      </w:r>
      <w:r>
        <w:rPr>
          <w:rFonts w:hint="eastAsia" w:ascii="宋体" w:hAnsi="宋体" w:eastAsia="宋体" w:cs="宋体"/>
          <w:i w:val="0"/>
          <w:iCs w:val="0"/>
          <w:caps w:val="0"/>
          <w:spacing w:val="0"/>
          <w:sz w:val="24"/>
          <w:szCs w:val="24"/>
          <w:shd w:val="clear" w:fill="FFFFFF"/>
          <w:lang w:val="en-US" w:eastAsia="zh-CN"/>
        </w:rPr>
        <w:t>本</w:t>
      </w:r>
      <w:r>
        <w:rPr>
          <w:rFonts w:hint="eastAsia" w:ascii="宋体" w:hAnsi="宋体" w:eastAsia="宋体" w:cs="宋体"/>
          <w:i w:val="0"/>
          <w:iCs w:val="0"/>
          <w:caps w:val="0"/>
          <w:spacing w:val="0"/>
          <w:sz w:val="24"/>
          <w:szCs w:val="24"/>
          <w:shd w:val="clear" w:fill="FFFFFF"/>
        </w:rPr>
        <w:t>公司矿产供应链涉及</w:t>
      </w:r>
      <w:r>
        <w:rPr>
          <w:rFonts w:hint="eastAsia" w:ascii="宋体" w:hAnsi="宋体" w:eastAsia="宋体" w:cs="宋体"/>
          <w:i w:val="0"/>
          <w:iCs w:val="0"/>
          <w:caps w:val="0"/>
          <w:spacing w:val="0"/>
          <w:sz w:val="24"/>
          <w:szCs w:val="24"/>
          <w:shd w:val="clear" w:fill="FFFFFF"/>
          <w:lang w:val="en-US" w:eastAsia="zh-CN"/>
        </w:rPr>
        <w:t>负责任</w:t>
      </w:r>
      <w:r>
        <w:rPr>
          <w:rFonts w:hint="eastAsia" w:ascii="宋体" w:hAnsi="宋体" w:eastAsia="宋体" w:cs="宋体"/>
          <w:i w:val="0"/>
          <w:iCs w:val="0"/>
          <w:caps w:val="0"/>
          <w:spacing w:val="0"/>
          <w:sz w:val="24"/>
          <w:szCs w:val="24"/>
          <w:shd w:val="clear" w:fill="FFFFFF"/>
        </w:rPr>
        <w:t>矿种</w:t>
      </w:r>
      <w:r>
        <w:rPr>
          <w:rFonts w:hint="eastAsia" w:ascii="宋体" w:hAnsi="宋体" w:eastAsia="宋体" w:cs="宋体"/>
          <w:i w:val="0"/>
          <w:iCs w:val="0"/>
          <w:caps w:val="0"/>
          <w:spacing w:val="0"/>
          <w:sz w:val="24"/>
          <w:szCs w:val="24"/>
          <w:shd w:val="clear" w:fill="FFFFFF"/>
          <w:lang w:val="en-US" w:eastAsia="zh-CN"/>
        </w:rPr>
        <w:t>仅</w:t>
      </w:r>
      <w:r>
        <w:rPr>
          <w:rFonts w:hint="eastAsia" w:ascii="宋体" w:hAnsi="宋体" w:eastAsia="宋体" w:cs="宋体"/>
          <w:i w:val="0"/>
          <w:iCs w:val="0"/>
          <w:caps w:val="0"/>
          <w:spacing w:val="0"/>
          <w:sz w:val="24"/>
          <w:szCs w:val="24"/>
          <w:shd w:val="clear" w:fill="FFFFFF"/>
        </w:rPr>
        <w:t>为锂，本报告披露范围涵盖锂</w:t>
      </w:r>
      <w:r>
        <w:rPr>
          <w:rFonts w:hint="eastAsia" w:ascii="宋体" w:hAnsi="宋体" w:eastAsia="宋体" w:cs="宋体"/>
          <w:i w:val="0"/>
          <w:iCs w:val="0"/>
          <w:caps w:val="0"/>
          <w:spacing w:val="0"/>
          <w:sz w:val="24"/>
          <w:szCs w:val="24"/>
          <w:shd w:val="clear" w:fill="FFFFFF"/>
          <w:lang w:val="en-US" w:eastAsia="zh-CN"/>
        </w:rPr>
        <w:t>及其化合物</w:t>
      </w:r>
      <w:r>
        <w:rPr>
          <w:rFonts w:hint="eastAsia" w:ascii="宋体" w:hAnsi="宋体" w:eastAsia="宋体" w:cs="宋体"/>
          <w:i w:val="0"/>
          <w:iCs w:val="0"/>
          <w:caps w:val="0"/>
          <w:spacing w:val="0"/>
          <w:sz w:val="24"/>
          <w:szCs w:val="24"/>
          <w:shd w:val="clear" w:fill="FFFFFF"/>
        </w:rPr>
        <w:t>。</w:t>
      </w:r>
    </w:p>
    <w:p w14:paraId="5A337A16">
      <w:pPr>
        <w:pStyle w:val="3"/>
        <w:spacing w:line="360" w:lineRule="auto"/>
        <w:rPr>
          <w:rFonts w:hint="eastAsia" w:ascii="宋体" w:hAnsi="宋体" w:eastAsia="宋体" w:cs="宋体"/>
          <w:lang w:eastAsia="zh-CN"/>
        </w:rPr>
      </w:pPr>
      <w:bookmarkStart w:id="8" w:name="_Toc24012"/>
      <w:bookmarkStart w:id="9" w:name="_Toc1019"/>
      <w:bookmarkStart w:id="10" w:name="_Toc211098164"/>
      <w:bookmarkStart w:id="11" w:name="_Toc31427"/>
      <w:r>
        <w:rPr>
          <w:rFonts w:hint="eastAsia" w:ascii="宋体" w:hAnsi="宋体" w:eastAsia="宋体" w:cs="宋体"/>
          <w:lang w:eastAsia="zh-CN"/>
        </w:rPr>
        <w:t>1.2 编制依据</w:t>
      </w:r>
      <w:bookmarkEnd w:id="8"/>
      <w:bookmarkEnd w:id="9"/>
      <w:bookmarkEnd w:id="10"/>
      <w:bookmarkEnd w:id="11"/>
    </w:p>
    <w:p w14:paraId="6D6E51BA">
      <w:pPr>
        <w:spacing w:line="360" w:lineRule="auto"/>
        <w:rPr>
          <w:rFonts w:hint="eastAsia" w:ascii="宋体" w:hAnsi="宋体" w:eastAsia="宋体" w:cs="宋体"/>
          <w:lang w:eastAsia="zh-CN"/>
        </w:rPr>
      </w:pPr>
      <w:r>
        <w:rPr>
          <w:rFonts w:hint="eastAsia" w:ascii="宋体" w:hAnsi="宋体" w:eastAsia="宋体" w:cs="宋体"/>
          <w:lang w:eastAsia="zh-CN"/>
        </w:rPr>
        <w:t>赣锋充分认识到在受冲突影响及高风险区域从事矿产资源的勘查、开采、贸易、加工与出口，可能引致重大负面风险，并且我们负有尊重人权、绝不助长冲突、避免对环境和社会造成不利影响的责任与义务。</w:t>
      </w:r>
    </w:p>
    <w:p w14:paraId="594BCB18">
      <w:pPr>
        <w:spacing w:line="360" w:lineRule="auto"/>
        <w:rPr>
          <w:rFonts w:hint="eastAsia" w:ascii="宋体" w:hAnsi="宋体" w:eastAsia="宋体" w:cs="宋体"/>
          <w:lang w:eastAsia="zh-CN"/>
        </w:rPr>
      </w:pPr>
    </w:p>
    <w:p w14:paraId="122CE0D6">
      <w:pPr>
        <w:spacing w:line="360" w:lineRule="auto"/>
        <w:rPr>
          <w:rFonts w:hint="eastAsia" w:ascii="宋体" w:hAnsi="宋体" w:eastAsia="宋体" w:cs="宋体"/>
          <w:lang w:val="en-US" w:eastAsia="zh-CN"/>
        </w:rPr>
      </w:pPr>
      <w:r>
        <w:rPr>
          <w:rFonts w:hint="eastAsia" w:ascii="宋体" w:hAnsi="宋体" w:eastAsia="宋体" w:cs="宋体"/>
          <w:lang w:val="en-US" w:eastAsia="zh-CN"/>
        </w:rPr>
        <w:t>本报告依据以下矿产供应链尽责法规要求开展供应链尽责管理，相关标准概览如下。</w:t>
      </w:r>
    </w:p>
    <w:p w14:paraId="5E8DAAA0">
      <w:pPr>
        <w:spacing w:line="360" w:lineRule="auto"/>
        <w:rPr>
          <w:rFonts w:hint="eastAsia" w:ascii="宋体" w:hAnsi="宋体" w:eastAsia="宋体" w:cs="宋体"/>
          <w:lang w:val="en-US" w:eastAsia="zh-CN"/>
        </w:rPr>
      </w:pPr>
      <w:r>
        <w:rPr>
          <w:rFonts w:hint="eastAsia" w:ascii="宋体" w:hAnsi="宋体" w:eastAsia="宋体" w:cs="宋体"/>
          <w:lang w:val="en-US" w:eastAsia="zh-CN"/>
        </w:rPr>
        <w:t>（一）国际层面：</w:t>
      </w:r>
    </w:p>
    <w:p w14:paraId="052F9BE2">
      <w:pPr>
        <w:numPr>
          <w:ilvl w:val="0"/>
          <w:numId w:val="1"/>
        </w:numPr>
        <w:spacing w:line="360" w:lineRule="auto"/>
        <w:ind w:left="420" w:hanging="420"/>
        <w:rPr>
          <w:rFonts w:hint="eastAsia" w:ascii="宋体" w:hAnsi="宋体" w:eastAsia="宋体" w:cs="宋体"/>
          <w:i w:val="0"/>
          <w:iCs w:val="0"/>
          <w:caps w:val="0"/>
          <w:spacing w:val="0"/>
          <w:sz w:val="24"/>
          <w:szCs w:val="24"/>
          <w:shd w:val="clear" w:fill="FFFFFF"/>
        </w:rPr>
      </w:pPr>
      <w:r>
        <w:rPr>
          <w:rFonts w:hint="eastAsia" w:ascii="宋体" w:hAnsi="宋体" w:eastAsia="宋体" w:cs="宋体"/>
          <w:i w:val="0"/>
          <w:iCs w:val="0"/>
          <w:caps w:val="0"/>
          <w:spacing w:val="0"/>
          <w:sz w:val="24"/>
          <w:szCs w:val="24"/>
          <w:shd w:val="clear" w:fill="FFFFFF"/>
        </w:rPr>
        <w:t>《经济合作与发展组织关于来自受冲突影响和高风险区域的矿石的负责任供应链尽职调查指南（第三版）》（简称《OECD 指南》）于2016年发布，是全球矿产供应链尽责的共同基线。</w:t>
      </w:r>
    </w:p>
    <w:p w14:paraId="0DFFCB16">
      <w:pPr>
        <w:numPr>
          <w:ilvl w:val="0"/>
          <w:numId w:val="1"/>
        </w:numPr>
        <w:spacing w:line="360" w:lineRule="auto"/>
        <w:ind w:left="420" w:hanging="420"/>
        <w:rPr>
          <w:rFonts w:hint="eastAsia" w:ascii="宋体" w:hAnsi="宋体" w:eastAsia="宋体" w:cs="宋体"/>
          <w:i w:val="0"/>
          <w:iCs w:val="0"/>
          <w:caps w:val="0"/>
          <w:spacing w:val="0"/>
          <w:sz w:val="24"/>
          <w:szCs w:val="24"/>
          <w:shd w:val="clear" w:fill="FFFFFF"/>
        </w:rPr>
      </w:pPr>
      <w:r>
        <w:rPr>
          <w:rFonts w:hint="eastAsia" w:ascii="宋体" w:hAnsi="宋体" w:eastAsia="宋体" w:cs="宋体"/>
          <w:sz w:val="24"/>
          <w:szCs w:val="24"/>
        </w:rPr>
        <w:t>《联合国工商业与人权指导原则》</w:t>
      </w:r>
      <w:r>
        <w:rPr>
          <w:rFonts w:hint="eastAsia" w:ascii="宋体" w:hAnsi="宋体" w:eastAsia="宋体" w:cs="宋体"/>
          <w:i w:val="0"/>
          <w:iCs w:val="0"/>
          <w:caps w:val="0"/>
          <w:spacing w:val="0"/>
          <w:sz w:val="24"/>
          <w:szCs w:val="24"/>
          <w:shd w:val="clear" w:fill="FFFFFF"/>
        </w:rPr>
        <w:t>于2011年由联合国人权理事会批准，是全球首个确立"国家保护、企业尊重、受害者救济"三大支柱的工商业与人权框架，要求企业在自身业务及供应链中履行尊重人权的尽责义务</w:t>
      </w:r>
    </w:p>
    <w:p w14:paraId="0063797A">
      <w:pPr>
        <w:numPr>
          <w:ilvl w:val="0"/>
          <w:numId w:val="1"/>
        </w:numPr>
        <w:spacing w:line="360" w:lineRule="auto"/>
        <w:ind w:left="420" w:hanging="420"/>
        <w:rPr>
          <w:rFonts w:hint="eastAsia" w:ascii="宋体" w:hAnsi="宋体" w:eastAsia="宋体" w:cs="宋体"/>
          <w:i w:val="0"/>
          <w:iCs w:val="0"/>
          <w:caps w:val="0"/>
          <w:spacing w:val="0"/>
          <w:sz w:val="24"/>
          <w:szCs w:val="24"/>
          <w:shd w:val="clear" w:fill="FFFFFF"/>
        </w:rPr>
      </w:pPr>
      <w:r>
        <w:rPr>
          <w:rFonts w:hint="eastAsia" w:ascii="宋体" w:hAnsi="宋体" w:eastAsia="宋体" w:cs="宋体"/>
          <w:sz w:val="24"/>
          <w:szCs w:val="24"/>
        </w:rPr>
        <w:t>《联合国人权与安全自愿原则》</w:t>
      </w:r>
      <w:r>
        <w:rPr>
          <w:rFonts w:hint="eastAsia" w:ascii="宋体" w:hAnsi="宋体" w:eastAsia="宋体" w:cs="宋体"/>
          <w:i w:val="0"/>
          <w:iCs w:val="0"/>
          <w:caps w:val="0"/>
          <w:spacing w:val="0"/>
          <w:sz w:val="24"/>
          <w:szCs w:val="24"/>
          <w:shd w:val="clear" w:fill="FFFFFF"/>
        </w:rPr>
        <w:t>于2000年由多国政府、跨国企业与人权组织共同发起，是 extractive（采矿、油气等）行业处理公共及私营安保与人权关系的自愿性框架，要求企业在使用安保力量时开展人权风险评估、防止滥用武力并建立申诉与补救机制，是矿产供应链尽责中国际公认的安保人权基准。</w:t>
      </w:r>
    </w:p>
    <w:p w14:paraId="46CECF18">
      <w:pPr>
        <w:numPr>
          <w:ilvl w:val="0"/>
          <w:numId w:val="1"/>
        </w:numPr>
        <w:spacing w:line="360" w:lineRule="auto"/>
        <w:ind w:left="420" w:hanging="420"/>
        <w:rPr>
          <w:rFonts w:hint="eastAsia" w:ascii="宋体" w:hAnsi="宋体" w:eastAsia="宋体" w:cs="宋体"/>
          <w:i w:val="0"/>
          <w:iCs w:val="0"/>
          <w:caps w:val="0"/>
          <w:spacing w:val="0"/>
          <w:sz w:val="24"/>
          <w:szCs w:val="24"/>
          <w:shd w:val="clear" w:fill="FFFFFF"/>
        </w:rPr>
      </w:pPr>
      <w:r>
        <w:rPr>
          <w:rFonts w:hint="eastAsia" w:ascii="宋体" w:hAnsi="宋体" w:eastAsia="宋体" w:cs="宋体"/>
          <w:sz w:val="24"/>
          <w:szCs w:val="24"/>
        </w:rPr>
        <w:t>《企业识别和解决矿产供应链中最恶劣形式童工问题的实践性行动》</w:t>
      </w:r>
      <w:r>
        <w:rPr>
          <w:rFonts w:hint="eastAsia" w:ascii="宋体" w:hAnsi="宋体" w:eastAsia="宋体" w:cs="宋体"/>
          <w:i w:val="0"/>
          <w:iCs w:val="0"/>
          <w:caps w:val="0"/>
          <w:spacing w:val="0"/>
          <w:sz w:val="24"/>
          <w:szCs w:val="24"/>
          <w:shd w:val="clear" w:fill="FFFFFF"/>
        </w:rPr>
        <w:t>（OECD，2017）是 OECD 应二十国集团（G20）委托制定的实操性工具，将童工风险识别与缓释嵌入其矿产供应链尽责五步法框架，为企业提供在手工作业及小规模采矿（ASM）等环节识别、预防并补救最恶劣形式童工问题的具体指引，是矿产供应链童工尽责的专项国际基准。</w:t>
      </w:r>
    </w:p>
    <w:p w14:paraId="667EDC35">
      <w:pPr>
        <w:spacing w:line="360" w:lineRule="auto"/>
        <w:rPr>
          <w:rFonts w:hint="eastAsia" w:ascii="宋体" w:hAnsi="宋体" w:eastAsia="宋体" w:cs="宋体"/>
          <w:lang w:val="en-US" w:eastAsia="zh-CN"/>
        </w:rPr>
      </w:pPr>
      <w:r>
        <w:rPr>
          <w:rFonts w:hint="eastAsia" w:ascii="宋体" w:hAnsi="宋体" w:eastAsia="宋体" w:cs="宋体"/>
          <w:lang w:val="en-US" w:eastAsia="zh-CN"/>
        </w:rPr>
        <w:t>（二）欧盟层面：</w:t>
      </w:r>
    </w:p>
    <w:p w14:paraId="26FA3420">
      <w:pPr>
        <w:numPr>
          <w:ilvl w:val="0"/>
          <w:numId w:val="1"/>
        </w:numPr>
        <w:spacing w:line="360" w:lineRule="auto"/>
        <w:ind w:left="420" w:hanging="420"/>
        <w:rPr>
          <w:rFonts w:hint="eastAsia" w:ascii="宋体" w:hAnsi="宋体" w:eastAsia="宋体" w:cs="宋体"/>
          <w:lang w:val="en-US" w:eastAsia="zh-CN"/>
        </w:rPr>
      </w:pPr>
      <w:r>
        <w:rPr>
          <w:rFonts w:hint="eastAsia" w:ascii="宋体" w:hAnsi="宋体" w:eastAsia="宋体" w:cs="宋体"/>
          <w:lang w:val="en-US" w:eastAsia="zh-CN"/>
        </w:rPr>
        <w:t>《冲突矿产条例》（Regulation (EU) 2017/821）自 2021 年 1 月起全面适用于锡、钽、钨、金（3TG）的欧盟进口商，要求遵循 OECD 尽职调查五步法，建立管理体系、识别和评估供应链风险、实施风险缓释、开展独立审计并公开年度报告。</w:t>
      </w:r>
    </w:p>
    <w:p w14:paraId="6E10070B">
      <w:pPr>
        <w:numPr>
          <w:ilvl w:val="0"/>
          <w:numId w:val="1"/>
        </w:numPr>
        <w:spacing w:line="360" w:lineRule="auto"/>
        <w:ind w:left="420" w:hanging="420"/>
        <w:rPr>
          <w:rFonts w:hint="eastAsia" w:ascii="宋体" w:hAnsi="宋体" w:eastAsia="宋体" w:cs="宋体"/>
          <w:lang w:val="en-US" w:eastAsia="zh-CN"/>
        </w:rPr>
      </w:pPr>
      <w:r>
        <w:rPr>
          <w:rFonts w:hint="eastAsia" w:ascii="宋体" w:hAnsi="宋体" w:eastAsia="宋体" w:cs="宋体"/>
          <w:i w:val="0"/>
          <w:iCs w:val="0"/>
          <w:caps w:val="0"/>
          <w:spacing w:val="0"/>
          <w:sz w:val="24"/>
          <w:szCs w:val="24"/>
          <w:shd w:val="clear" w:fill="FFFFFF"/>
        </w:rPr>
        <w:t>德国《供应链尽责法》（LkSG）于 2023 年 1 月生效，自 2024 年 1 月起适用于在德国雇用 1,000 人以上的企业，覆盖企业自身业务、直接供应商以及基于触发机制的间接供应商，核心义务包括建立风险管理体系、开展年度及事件驱动型风险分析、制定人权政策声明、实施预防与补救措施、建立申诉机制并留存完整文档</w:t>
      </w:r>
      <w:r>
        <w:rPr>
          <w:rFonts w:hint="eastAsia" w:ascii="宋体" w:hAnsi="宋体" w:eastAsia="宋体" w:cs="宋体"/>
          <w:i w:val="0"/>
          <w:iCs w:val="0"/>
          <w:caps w:val="0"/>
          <w:spacing w:val="0"/>
          <w:sz w:val="24"/>
          <w:szCs w:val="24"/>
          <w:shd w:val="clear" w:fill="FFFFFF"/>
          <w:lang w:eastAsia="zh-CN"/>
        </w:rPr>
        <w:t>。</w:t>
      </w:r>
    </w:p>
    <w:p w14:paraId="38295CDA">
      <w:pPr>
        <w:numPr>
          <w:ilvl w:val="0"/>
          <w:numId w:val="1"/>
        </w:numPr>
        <w:spacing w:line="360" w:lineRule="auto"/>
        <w:ind w:left="420" w:hanging="420"/>
        <w:rPr>
          <w:rFonts w:hint="eastAsia" w:ascii="宋体" w:hAnsi="宋体" w:eastAsia="宋体" w:cs="宋体"/>
          <w:lang w:val="en-US" w:eastAsia="zh-CN"/>
        </w:rPr>
      </w:pPr>
      <w:r>
        <w:rPr>
          <w:rFonts w:hint="eastAsia" w:ascii="宋体" w:hAnsi="宋体" w:eastAsia="宋体" w:cs="宋体"/>
          <w:lang w:val="en-US" w:eastAsia="zh-CN"/>
        </w:rPr>
        <w:t>《企业可持续发展尽职调查指令》（CSDDD, Directive (EU) 2024/1760，经 2026 年 Omnibus 指令修订）将尽责义务扩展至超大型企业（员工超过 5,000 人且净营业额超过 15 亿欧元）的人权与环境尽职调查，统一适用日为 2029 年 7 月。</w:t>
      </w:r>
    </w:p>
    <w:p w14:paraId="0A020D87">
      <w:pPr>
        <w:numPr>
          <w:ilvl w:val="0"/>
          <w:numId w:val="1"/>
        </w:numPr>
        <w:spacing w:line="360" w:lineRule="auto"/>
        <w:ind w:left="420" w:hanging="420"/>
        <w:rPr>
          <w:rFonts w:hint="eastAsia" w:ascii="宋体" w:hAnsi="宋体" w:eastAsia="宋体" w:cs="宋体"/>
          <w:lang w:val="en-US" w:eastAsia="zh-CN"/>
        </w:rPr>
      </w:pPr>
      <w:r>
        <w:rPr>
          <w:rFonts w:hint="eastAsia" w:ascii="宋体" w:hAnsi="宋体" w:eastAsia="宋体" w:cs="宋体"/>
          <w:lang w:val="en-US" w:eastAsia="zh-CN"/>
        </w:rPr>
        <w:t>《电池条例》（Regulation (EU) 2023/1542）将尽责义务延伸至钴、锂、镍、天然石墨等电池关键原材料，相关义务自 2027 年 8 月起实施。</w:t>
      </w:r>
    </w:p>
    <w:p w14:paraId="3E86BE63">
      <w:pPr>
        <w:spacing w:line="360" w:lineRule="auto"/>
        <w:rPr>
          <w:rFonts w:hint="eastAsia" w:ascii="宋体" w:hAnsi="宋体" w:eastAsia="宋体" w:cs="宋体"/>
          <w:lang w:val="en-US" w:eastAsia="zh-CN"/>
        </w:rPr>
      </w:pPr>
      <w:r>
        <w:rPr>
          <w:rFonts w:hint="eastAsia" w:ascii="宋体" w:hAnsi="宋体" w:eastAsia="宋体" w:cs="宋体"/>
          <w:lang w:val="en-US" w:eastAsia="zh-CN"/>
        </w:rPr>
        <w:t>（三）美国层面：</w:t>
      </w:r>
    </w:p>
    <w:p w14:paraId="407FD2FB">
      <w:pPr>
        <w:numPr>
          <w:ilvl w:val="0"/>
          <w:numId w:val="1"/>
        </w:numPr>
        <w:spacing w:line="360" w:lineRule="auto"/>
        <w:ind w:left="420" w:hanging="420"/>
        <w:rPr>
          <w:rFonts w:hint="eastAsia" w:ascii="宋体" w:hAnsi="宋体" w:eastAsia="宋体" w:cs="宋体"/>
          <w:lang w:val="en-US" w:eastAsia="zh-CN"/>
        </w:rPr>
      </w:pPr>
      <w:r>
        <w:rPr>
          <w:rFonts w:hint="eastAsia" w:ascii="宋体" w:hAnsi="宋体" w:eastAsia="宋体" w:cs="宋体"/>
          <w:lang w:val="en-US" w:eastAsia="zh-CN"/>
        </w:rPr>
        <w:t>《多德-弗兰克法案》第 1502 条及美国证监会（SEC）冲突矿产规则，要求相关上市公司对 3TG 开展合理原产国查询，如矿产可能源自刚果（金）及周边国家，须提交冲突矿产报告并接受独立审计。</w:t>
      </w:r>
    </w:p>
    <w:p w14:paraId="4AF6D468">
      <w:pPr>
        <w:numPr>
          <w:ilvl w:val="0"/>
          <w:numId w:val="1"/>
        </w:numPr>
        <w:spacing w:line="360" w:lineRule="auto"/>
        <w:ind w:left="420" w:hanging="420"/>
        <w:rPr>
          <w:rFonts w:hint="eastAsia" w:ascii="宋体" w:hAnsi="宋体" w:eastAsia="宋体" w:cs="宋体"/>
          <w:lang w:val="en-US" w:eastAsia="zh-CN"/>
        </w:rPr>
      </w:pPr>
      <w:r>
        <w:rPr>
          <w:rFonts w:hint="eastAsia" w:ascii="宋体" w:hAnsi="宋体" w:eastAsia="宋体" w:cs="宋体"/>
          <w:lang w:val="en-US" w:eastAsia="zh-CN"/>
        </w:rPr>
        <w:t>《维吾尔强迫劳动预防法》（UFLPA）对涉新疆商品实行进口可反驳推定，进口商须承担"清晰且令人信服"的举证责任。</w:t>
      </w:r>
    </w:p>
    <w:p w14:paraId="0678E18C">
      <w:pPr>
        <w:spacing w:line="360" w:lineRule="auto"/>
        <w:rPr>
          <w:rFonts w:hint="eastAsia" w:ascii="宋体" w:hAnsi="宋体" w:eastAsia="宋体" w:cs="宋体"/>
          <w:lang w:val="en-US" w:eastAsia="zh-CN"/>
        </w:rPr>
      </w:pPr>
      <w:r>
        <w:rPr>
          <w:rFonts w:hint="eastAsia" w:ascii="宋体" w:hAnsi="宋体" w:eastAsia="宋体" w:cs="宋体"/>
          <w:lang w:val="en-US" w:eastAsia="zh-CN"/>
        </w:rPr>
        <w:t>（四）中国层面</w:t>
      </w:r>
    </w:p>
    <w:p w14:paraId="5F5BA776">
      <w:pPr>
        <w:numPr>
          <w:ilvl w:val="0"/>
          <w:numId w:val="1"/>
        </w:numPr>
        <w:spacing w:line="360" w:lineRule="auto"/>
        <w:ind w:left="420" w:hanging="420"/>
        <w:rPr>
          <w:rFonts w:hint="eastAsia" w:ascii="宋体" w:hAnsi="宋体" w:eastAsia="宋体" w:cs="宋体"/>
          <w:lang w:val="en-US" w:eastAsia="zh-CN"/>
        </w:rPr>
      </w:pPr>
      <w:r>
        <w:rPr>
          <w:rFonts w:hint="eastAsia" w:ascii="宋体" w:hAnsi="宋体" w:eastAsia="宋体" w:cs="宋体"/>
          <w:lang w:val="en-US" w:eastAsia="zh-CN"/>
        </w:rPr>
        <w:t>《中国矿产供应链尽责管理指南》（2022 年第二版）覆盖全部矿产，采用六步法尽责框架，是中国企业对接国际客户尽责要求的主要本土依据。</w:t>
      </w:r>
    </w:p>
    <w:p w14:paraId="3EA2948E">
      <w:pPr>
        <w:numPr>
          <w:ilvl w:val="0"/>
          <w:numId w:val="1"/>
        </w:numPr>
        <w:spacing w:line="360" w:lineRule="auto"/>
        <w:ind w:left="420" w:hanging="420"/>
        <w:rPr>
          <w:rFonts w:hint="eastAsia" w:ascii="宋体" w:hAnsi="宋体" w:eastAsia="宋体" w:cs="宋体"/>
          <w:lang w:val="en-US" w:eastAsia="zh-CN"/>
        </w:rPr>
      </w:pPr>
      <w:r>
        <w:rPr>
          <w:rFonts w:hint="eastAsia" w:ascii="宋体" w:hAnsi="宋体" w:eastAsia="宋体" w:cs="宋体"/>
          <w:sz w:val="24"/>
          <w:szCs w:val="24"/>
        </w:rPr>
        <w:t>《</w:t>
      </w:r>
      <w:r>
        <w:rPr>
          <w:rFonts w:hint="eastAsia" w:ascii="宋体" w:hAnsi="宋体" w:eastAsia="宋体" w:cs="宋体"/>
          <w:sz w:val="24"/>
          <w:szCs w:val="24"/>
          <w:lang w:val="en-US" w:eastAsia="zh-CN"/>
        </w:rPr>
        <w:t>中华人民共和国</w:t>
      </w:r>
      <w:r>
        <w:rPr>
          <w:rFonts w:hint="eastAsia" w:ascii="宋体" w:hAnsi="宋体" w:eastAsia="宋体" w:cs="宋体"/>
          <w:sz w:val="24"/>
          <w:szCs w:val="24"/>
        </w:rPr>
        <w:t>对外贸易法》于 2025年12月27日修订通过，2026年3月1日起施行；</w:t>
      </w:r>
    </w:p>
    <w:p w14:paraId="65AF1B2E">
      <w:pPr>
        <w:numPr>
          <w:ilvl w:val="0"/>
          <w:numId w:val="1"/>
        </w:numPr>
        <w:spacing w:line="360" w:lineRule="auto"/>
        <w:ind w:left="420" w:hanging="420"/>
        <w:rPr>
          <w:rFonts w:hint="eastAsia" w:ascii="宋体" w:hAnsi="宋体" w:eastAsia="宋体" w:cs="宋体"/>
          <w:lang w:val="en-US" w:eastAsia="zh-CN"/>
        </w:rPr>
      </w:pPr>
      <w:r>
        <w:rPr>
          <w:rFonts w:hint="eastAsia" w:ascii="宋体" w:hAnsi="宋体" w:eastAsia="宋体" w:cs="宋体"/>
          <w:sz w:val="24"/>
          <w:szCs w:val="24"/>
        </w:rPr>
        <w:t>《网络数据安全管理条例》自 2025年1月1日起施行，整合了网络安全、数据安全、个人信息保护等核心义务。</w:t>
      </w:r>
    </w:p>
    <w:p w14:paraId="5D5C8673">
      <w:pPr>
        <w:numPr>
          <w:ilvl w:val="0"/>
          <w:numId w:val="1"/>
        </w:numPr>
        <w:spacing w:line="360" w:lineRule="auto"/>
        <w:ind w:left="420" w:hanging="420"/>
        <w:rPr>
          <w:rFonts w:hint="eastAsia" w:ascii="宋体" w:hAnsi="宋体" w:eastAsia="宋体" w:cs="宋体"/>
          <w:sz w:val="24"/>
          <w:szCs w:val="24"/>
        </w:rPr>
      </w:pPr>
      <w:r>
        <w:rPr>
          <w:rFonts w:hint="eastAsia" w:ascii="宋体" w:hAnsi="宋体" w:eastAsia="宋体" w:cs="宋体"/>
          <w:sz w:val="24"/>
          <w:szCs w:val="24"/>
        </w:rPr>
        <w:t>《国务院关于产业链供应链安全的规定》（国令第834号）于2026 年3月31日公布施行，</w:t>
      </w:r>
      <w:r>
        <w:rPr>
          <w:rFonts w:hint="eastAsia" w:ascii="宋体" w:hAnsi="宋体" w:eastAsia="宋体" w:cs="宋体"/>
          <w:i w:val="0"/>
          <w:iCs w:val="0"/>
          <w:caps w:val="0"/>
          <w:spacing w:val="0"/>
          <w:sz w:val="24"/>
          <w:szCs w:val="24"/>
          <w:shd w:val="clear" w:fill="FFFFFF"/>
        </w:rPr>
        <w:t>首次将产业链供应链安全纳入行政法规治理体系，建立关键领域清单、风险监测预警与应急管理机制</w:t>
      </w:r>
      <w:r>
        <w:rPr>
          <w:rFonts w:hint="eastAsia" w:ascii="宋体" w:hAnsi="宋体" w:eastAsia="宋体" w:cs="宋体"/>
          <w:sz w:val="24"/>
          <w:szCs w:val="24"/>
        </w:rPr>
        <w:t>；</w:t>
      </w:r>
    </w:p>
    <w:p w14:paraId="3F6A00CA">
      <w:pPr>
        <w:numPr>
          <w:ilvl w:val="0"/>
          <w:numId w:val="1"/>
        </w:numPr>
        <w:spacing w:line="360" w:lineRule="auto"/>
        <w:ind w:left="420" w:hanging="420"/>
        <w:rPr>
          <w:rFonts w:hint="eastAsia" w:ascii="宋体" w:hAnsi="宋体" w:eastAsia="宋体" w:cs="宋体"/>
          <w:sz w:val="24"/>
          <w:szCs w:val="24"/>
          <w:lang w:val="en-US" w:eastAsia="zh-CN"/>
        </w:rPr>
      </w:pPr>
      <w:r>
        <w:rPr>
          <w:rFonts w:hint="eastAsia" w:ascii="宋体" w:hAnsi="宋体" w:eastAsia="宋体" w:cs="宋体"/>
          <w:i w:val="0"/>
          <w:iCs w:val="0"/>
          <w:caps w:val="0"/>
          <w:spacing w:val="0"/>
          <w:sz w:val="24"/>
          <w:szCs w:val="24"/>
          <w:shd w:val="clear" w:fill="FFFFFF"/>
        </w:rPr>
        <w:t>《</w:t>
      </w:r>
      <w:r>
        <w:rPr>
          <w:rFonts w:hint="eastAsia" w:ascii="宋体" w:hAnsi="宋体" w:eastAsia="宋体" w:cs="宋体"/>
          <w:i w:val="0"/>
          <w:iCs w:val="0"/>
          <w:caps w:val="0"/>
          <w:spacing w:val="0"/>
          <w:sz w:val="24"/>
          <w:szCs w:val="24"/>
          <w:shd w:val="clear" w:fill="FFFFFF"/>
          <w:lang w:val="en-US" w:eastAsia="zh-CN"/>
        </w:rPr>
        <w:t>中华人民共和国</w:t>
      </w:r>
      <w:r>
        <w:rPr>
          <w:rFonts w:hint="eastAsia" w:ascii="宋体" w:hAnsi="宋体" w:eastAsia="宋体" w:cs="宋体"/>
          <w:i w:val="0"/>
          <w:iCs w:val="0"/>
          <w:caps w:val="0"/>
          <w:spacing w:val="0"/>
          <w:sz w:val="24"/>
          <w:szCs w:val="24"/>
          <w:shd w:val="clear" w:fill="FFFFFF"/>
        </w:rPr>
        <w:t>反外国不当域外管辖条例》</w:t>
      </w:r>
      <w:r>
        <w:rPr>
          <w:rFonts w:hint="eastAsia" w:ascii="宋体" w:hAnsi="宋体" w:eastAsia="宋体" w:cs="宋体"/>
          <w:sz w:val="24"/>
          <w:szCs w:val="24"/>
        </w:rPr>
        <w:t>（国令第83</w:t>
      </w:r>
      <w:r>
        <w:rPr>
          <w:rFonts w:hint="eastAsia" w:ascii="宋体" w:hAnsi="宋体" w:eastAsia="宋体" w:cs="宋体"/>
          <w:sz w:val="24"/>
          <w:szCs w:val="24"/>
          <w:lang w:val="en-US" w:eastAsia="zh-CN"/>
        </w:rPr>
        <w:t>5</w:t>
      </w:r>
      <w:r>
        <w:rPr>
          <w:rFonts w:hint="eastAsia" w:ascii="宋体" w:hAnsi="宋体" w:eastAsia="宋体" w:cs="宋体"/>
          <w:sz w:val="24"/>
          <w:szCs w:val="24"/>
        </w:rPr>
        <w:t>号）</w:t>
      </w:r>
      <w:r>
        <w:rPr>
          <w:rFonts w:hint="eastAsia" w:ascii="宋体" w:hAnsi="宋体" w:eastAsia="宋体" w:cs="宋体"/>
          <w:sz w:val="24"/>
          <w:szCs w:val="24"/>
          <w:lang w:val="en-US" w:eastAsia="zh-CN"/>
        </w:rPr>
        <w:t>于2026年4月7日公布施行，</w:t>
      </w:r>
      <w:r>
        <w:rPr>
          <w:rFonts w:hint="eastAsia" w:ascii="宋体" w:hAnsi="宋体" w:eastAsia="宋体" w:cs="宋体"/>
          <w:i w:val="0"/>
          <w:iCs w:val="0"/>
          <w:caps w:val="0"/>
          <w:spacing w:val="0"/>
          <w:sz w:val="24"/>
          <w:szCs w:val="24"/>
          <w:shd w:val="clear" w:fill="FFFFFF"/>
        </w:rPr>
        <w:t>确立对外国不当域外管辖措施的识别、阻断与反制制度，企业须统筹兼顾境外尽责义务与境内合规要求</w:t>
      </w:r>
      <w:r>
        <w:rPr>
          <w:rFonts w:hint="eastAsia" w:ascii="宋体" w:hAnsi="宋体" w:eastAsia="宋体" w:cs="宋体"/>
          <w:i w:val="0"/>
          <w:iCs w:val="0"/>
          <w:caps w:val="0"/>
          <w:spacing w:val="0"/>
          <w:sz w:val="24"/>
          <w:szCs w:val="24"/>
          <w:shd w:val="clear" w:fill="FFFFFF"/>
          <w:lang w:eastAsia="zh-CN"/>
        </w:rPr>
        <w:t>；</w:t>
      </w:r>
    </w:p>
    <w:p w14:paraId="675D1BA7">
      <w:pPr>
        <w:spacing w:line="360" w:lineRule="auto"/>
        <w:rPr>
          <w:rFonts w:hint="eastAsia" w:ascii="宋体" w:hAnsi="宋体" w:eastAsia="宋体" w:cs="宋体"/>
          <w:lang w:val="en-US" w:eastAsia="zh-CN"/>
        </w:rPr>
      </w:pPr>
    </w:p>
    <w:p w14:paraId="76E740FF">
      <w:pPr>
        <w:spacing w:line="360" w:lineRule="auto"/>
        <w:rPr>
          <w:rFonts w:hint="eastAsia" w:ascii="宋体" w:hAnsi="宋体" w:eastAsia="宋体" w:cs="宋体"/>
          <w:lang w:eastAsia="zh-CN"/>
        </w:rPr>
      </w:pPr>
      <w:r>
        <w:rPr>
          <w:rFonts w:hint="eastAsia" w:ascii="宋体" w:hAnsi="宋体" w:eastAsia="宋体" w:cs="宋体"/>
          <w:i w:val="0"/>
          <w:iCs w:val="0"/>
          <w:caps w:val="0"/>
          <w:spacing w:val="0"/>
          <w:sz w:val="24"/>
          <w:szCs w:val="24"/>
          <w:shd w:val="clear" w:fill="FFFFFF"/>
          <w:lang w:val="en-US" w:eastAsia="zh-CN"/>
        </w:rPr>
        <w:t>上述供应链尽责管理</w:t>
      </w:r>
      <w:r>
        <w:rPr>
          <w:rFonts w:hint="eastAsia" w:ascii="宋体" w:hAnsi="宋体" w:eastAsia="宋体" w:cs="宋体"/>
          <w:i w:val="0"/>
          <w:iCs w:val="0"/>
          <w:caps w:val="0"/>
          <w:spacing w:val="0"/>
          <w:sz w:val="24"/>
          <w:szCs w:val="24"/>
          <w:shd w:val="clear" w:fill="FFFFFF"/>
        </w:rPr>
        <w:t>立法均以《OECD 指南》为共同基线，并</w:t>
      </w:r>
      <w:r>
        <w:rPr>
          <w:rFonts w:hint="eastAsia" w:ascii="宋体" w:hAnsi="宋体" w:eastAsia="宋体" w:cs="宋体"/>
          <w:i w:val="0"/>
          <w:iCs w:val="0"/>
          <w:caps w:val="0"/>
          <w:spacing w:val="0"/>
          <w:sz w:val="24"/>
          <w:szCs w:val="24"/>
          <w:shd w:val="clear" w:fill="FFFFFF"/>
          <w:lang w:val="en-US" w:eastAsia="zh-CN"/>
        </w:rPr>
        <w:t>逐步从自愿倡议专项法律强制义务。赣锋坚守供应链尽责管理体系有效运行，对满足各利益相关放合理要求、保障集团全球化具有重要战略意义。</w:t>
      </w:r>
    </w:p>
    <w:p w14:paraId="77FEEB32">
      <w:pPr>
        <w:spacing w:line="360" w:lineRule="auto"/>
        <w:rPr>
          <w:rFonts w:hint="eastAsia" w:ascii="宋体" w:hAnsi="宋体" w:eastAsia="宋体" w:cs="宋体"/>
          <w:lang w:eastAsia="zh-CN"/>
        </w:rPr>
      </w:pPr>
    </w:p>
    <w:p w14:paraId="1E8495A0">
      <w:pPr>
        <w:spacing w:line="360" w:lineRule="auto"/>
        <w:rPr>
          <w:rFonts w:hint="eastAsia" w:ascii="宋体" w:hAnsi="宋体" w:eastAsia="宋体" w:cs="宋体"/>
          <w:lang w:eastAsia="zh-CN"/>
        </w:rPr>
      </w:pPr>
    </w:p>
    <w:p w14:paraId="313B6CA6">
      <w:pPr>
        <w:spacing w:line="360" w:lineRule="auto"/>
        <w:rPr>
          <w:rFonts w:hint="eastAsia" w:ascii="宋体" w:hAnsi="宋体" w:eastAsia="宋体" w:cs="宋体"/>
          <w:lang w:eastAsia="zh-CN"/>
        </w:rPr>
      </w:pPr>
    </w:p>
    <w:p w14:paraId="0992CFCD">
      <w:pPr>
        <w:spacing w:line="360" w:lineRule="auto"/>
        <w:rPr>
          <w:rFonts w:hint="eastAsia" w:ascii="宋体" w:hAnsi="宋体" w:eastAsia="宋体" w:cs="宋体"/>
          <w:lang w:eastAsia="zh-CN"/>
        </w:rPr>
      </w:pPr>
    </w:p>
    <w:p w14:paraId="27297EF2">
      <w:pPr>
        <w:spacing w:line="360" w:lineRule="auto"/>
        <w:rPr>
          <w:rFonts w:hint="eastAsia" w:ascii="宋体" w:hAnsi="宋体" w:eastAsia="宋体" w:cs="宋体"/>
          <w:lang w:eastAsia="zh-CN"/>
        </w:rPr>
      </w:pPr>
    </w:p>
    <w:p w14:paraId="64A6DFD6">
      <w:pPr>
        <w:spacing w:line="360" w:lineRule="auto"/>
        <w:rPr>
          <w:rFonts w:hint="eastAsia" w:ascii="宋体" w:hAnsi="宋体" w:eastAsia="宋体" w:cs="宋体"/>
          <w:lang w:eastAsia="zh-CN"/>
        </w:rPr>
      </w:pPr>
    </w:p>
    <w:p w14:paraId="4B6D2E37">
      <w:pPr>
        <w:spacing w:line="360" w:lineRule="auto"/>
        <w:rPr>
          <w:rFonts w:hint="eastAsia" w:ascii="宋体" w:hAnsi="宋体" w:eastAsia="宋体" w:cs="宋体"/>
          <w:lang w:eastAsia="zh-CN"/>
        </w:rPr>
      </w:pPr>
    </w:p>
    <w:p w14:paraId="19BBE1E7">
      <w:pPr>
        <w:spacing w:line="360" w:lineRule="auto"/>
        <w:rPr>
          <w:rFonts w:hint="eastAsia" w:ascii="宋体" w:hAnsi="宋体" w:eastAsia="宋体" w:cs="宋体"/>
          <w:lang w:eastAsia="zh-CN"/>
        </w:rPr>
      </w:pPr>
    </w:p>
    <w:p w14:paraId="283C4104">
      <w:pPr>
        <w:pStyle w:val="2"/>
        <w:spacing w:line="360" w:lineRule="auto"/>
        <w:rPr>
          <w:rFonts w:hint="eastAsia" w:ascii="宋体" w:hAnsi="宋体" w:eastAsia="宋体" w:cs="宋体"/>
          <w:lang w:eastAsia="zh-CN"/>
        </w:rPr>
      </w:pPr>
      <w:bookmarkStart w:id="12" w:name="_Toc15325"/>
      <w:bookmarkStart w:id="13" w:name="_Toc12815"/>
      <w:bookmarkStart w:id="14" w:name="_Toc13841"/>
      <w:bookmarkStart w:id="15" w:name="_Toc211098166"/>
      <w:r>
        <w:rPr>
          <w:rFonts w:hint="eastAsia" w:ascii="宋体" w:hAnsi="宋体" w:eastAsia="宋体" w:cs="宋体"/>
          <w:lang w:eastAsia="zh-CN"/>
        </w:rPr>
        <w:t>2 公司概况</w:t>
      </w:r>
      <w:bookmarkEnd w:id="12"/>
      <w:bookmarkEnd w:id="13"/>
      <w:bookmarkEnd w:id="14"/>
      <w:bookmarkEnd w:id="15"/>
    </w:p>
    <w:p w14:paraId="0D0B6700">
      <w:pPr>
        <w:spacing w:line="360" w:lineRule="auto"/>
        <w:ind w:firstLine="0"/>
        <w:rPr>
          <w:rFonts w:hint="eastAsia" w:ascii="宋体" w:hAnsi="宋体" w:eastAsia="宋体" w:cs="宋体"/>
          <w:lang w:val="en-US" w:eastAsia="zh-CN"/>
        </w:rPr>
      </w:pPr>
      <w:r>
        <w:rPr>
          <w:rFonts w:hint="eastAsia" w:ascii="宋体" w:hAnsi="宋体" w:eastAsia="宋体" w:cs="宋体"/>
          <w:lang w:val="en-US" w:eastAsia="zh-CN"/>
        </w:rPr>
        <w:t>公司名称：江西赣锋锂业集团股份有限公司（马洪工厂）</w:t>
      </w:r>
    </w:p>
    <w:p w14:paraId="296F5287">
      <w:pPr>
        <w:spacing w:line="360" w:lineRule="auto"/>
        <w:ind w:firstLine="0"/>
        <w:rPr>
          <w:rFonts w:hint="eastAsia" w:ascii="宋体" w:hAnsi="宋体" w:eastAsia="宋体" w:cs="宋体"/>
          <w:lang w:val="en-US" w:eastAsia="zh-CN"/>
        </w:rPr>
      </w:pPr>
      <w:r>
        <w:rPr>
          <w:rFonts w:hint="eastAsia" w:ascii="宋体" w:hAnsi="宋体" w:eastAsia="宋体" w:cs="宋体"/>
          <w:lang w:val="en-US" w:eastAsia="zh-CN"/>
        </w:rPr>
        <w:t>公司注册地址：中国江西省新余经济开发区龙腾路</w:t>
      </w:r>
    </w:p>
    <w:p w14:paraId="31B51E39">
      <w:pPr>
        <w:spacing w:line="360" w:lineRule="auto"/>
        <w:ind w:firstLine="0"/>
        <w:rPr>
          <w:rFonts w:hint="eastAsia" w:ascii="宋体" w:hAnsi="宋体" w:eastAsia="宋体" w:cs="宋体"/>
          <w:lang w:eastAsia="zh-CN"/>
        </w:rPr>
      </w:pPr>
      <w:r>
        <w:rPr>
          <w:rFonts w:hint="eastAsia" w:ascii="宋体" w:hAnsi="宋体" w:eastAsia="宋体" w:cs="宋体"/>
          <w:lang w:val="en-US" w:eastAsia="zh-CN"/>
        </w:rPr>
        <w:t>公司经营地址：中国</w:t>
      </w:r>
      <w:r>
        <w:rPr>
          <w:rFonts w:hint="eastAsia" w:ascii="宋体" w:hAnsi="宋体" w:eastAsia="宋体" w:cs="宋体"/>
          <w:lang w:eastAsia="zh-CN"/>
        </w:rPr>
        <w:t>江西省新余市高新技术产业开发区培源路1588号</w:t>
      </w:r>
    </w:p>
    <w:p w14:paraId="77E55AF6">
      <w:pPr>
        <w:spacing w:line="360" w:lineRule="auto"/>
        <w:ind w:firstLine="0"/>
        <w:rPr>
          <w:rFonts w:hint="eastAsia" w:ascii="宋体" w:hAnsi="宋体" w:eastAsia="宋体" w:cs="宋体"/>
          <w:lang w:val="en-US" w:eastAsia="zh-CN"/>
        </w:rPr>
      </w:pPr>
      <w:r>
        <w:rPr>
          <w:rFonts w:hint="eastAsia" w:ascii="宋体" w:hAnsi="宋体" w:eastAsia="宋体" w:cs="宋体"/>
          <w:lang w:val="en-US" w:eastAsia="zh-CN"/>
        </w:rPr>
        <w:t xml:space="preserve">第三方审核可用性说明：  </w:t>
      </w:r>
    </w:p>
    <w:p w14:paraId="46E5E0EA">
      <w:pPr>
        <w:spacing w:line="360" w:lineRule="auto"/>
        <w:ind w:firstLine="0"/>
        <w:rPr>
          <w:rFonts w:hint="eastAsia" w:ascii="宋体" w:hAnsi="宋体" w:eastAsia="宋体" w:cs="宋体"/>
          <w:lang w:val="en-US" w:eastAsia="zh-CN"/>
        </w:rPr>
      </w:pPr>
      <w:r>
        <w:rPr>
          <w:rFonts w:hint="eastAsia" w:ascii="宋体" w:hAnsi="宋体" w:eastAsia="宋体" w:cs="宋体"/>
          <w:lang w:val="en-US" w:eastAsia="zh-CN"/>
        </w:rPr>
        <w:t>受评估原料：锂</w:t>
      </w:r>
    </w:p>
    <w:p w14:paraId="52756810">
      <w:pPr>
        <w:spacing w:line="360" w:lineRule="auto"/>
        <w:ind w:firstLine="0"/>
        <w:rPr>
          <w:rFonts w:hint="eastAsia" w:ascii="宋体" w:hAnsi="宋体" w:eastAsia="宋体" w:cs="宋体"/>
          <w:lang w:val="en-US" w:eastAsia="zh-CN"/>
        </w:rPr>
      </w:pPr>
      <w:r>
        <w:rPr>
          <w:rFonts w:hint="eastAsia" w:ascii="宋体" w:hAnsi="宋体" w:eastAsia="宋体" w:cs="宋体"/>
          <w:lang w:val="en-US" w:eastAsia="zh-CN"/>
        </w:rPr>
        <w:t>上次评估日期：2026年6月24日-2026年6月25日</w:t>
      </w:r>
    </w:p>
    <w:p w14:paraId="531E07C3">
      <w:pPr>
        <w:spacing w:line="360" w:lineRule="auto"/>
        <w:ind w:firstLine="0"/>
        <w:rPr>
          <w:rFonts w:hint="eastAsia" w:ascii="宋体" w:hAnsi="宋体" w:eastAsia="宋体" w:cs="宋体"/>
          <w:lang w:val="en-US" w:eastAsia="zh-CN"/>
        </w:rPr>
      </w:pPr>
      <w:r>
        <w:rPr>
          <w:rFonts w:hint="eastAsia" w:ascii="宋体" w:hAnsi="宋体" w:eastAsia="宋体" w:cs="宋体"/>
          <w:lang w:val="en-US" w:eastAsia="zh-CN"/>
        </w:rPr>
        <w:t>评估期间：2025年6月1日-2026年5月31日</w:t>
      </w:r>
    </w:p>
    <w:p w14:paraId="0409EE06">
      <w:pPr>
        <w:spacing w:line="360" w:lineRule="auto"/>
        <w:ind w:firstLine="0"/>
        <w:rPr>
          <w:rFonts w:hint="eastAsia" w:ascii="宋体" w:hAnsi="宋体" w:eastAsia="宋体" w:cs="宋体"/>
          <w:lang w:val="en-US" w:eastAsia="zh-CN"/>
        </w:rPr>
      </w:pPr>
      <w:r>
        <w:rPr>
          <w:rFonts w:hint="eastAsia" w:ascii="宋体" w:hAnsi="宋体" w:eastAsia="宋体" w:cs="宋体"/>
          <w:lang w:val="en-US" w:eastAsia="zh-CN"/>
        </w:rPr>
        <w:t>评估公司：UL Responsible Sourcing</w:t>
      </w:r>
    </w:p>
    <w:p w14:paraId="531CA5D0">
      <w:pPr>
        <w:spacing w:line="360" w:lineRule="auto"/>
        <w:ind w:firstLine="0"/>
        <w:rPr>
          <w:rFonts w:hint="eastAsia" w:ascii="宋体" w:hAnsi="宋体" w:eastAsia="宋体" w:cs="宋体"/>
          <w:lang w:eastAsia="zh-CN"/>
        </w:rPr>
      </w:pPr>
    </w:p>
    <w:p w14:paraId="5A0FAD0B">
      <w:pPr>
        <w:spacing w:line="360" w:lineRule="auto"/>
        <w:ind w:firstLine="0"/>
        <w:rPr>
          <w:rFonts w:hint="eastAsia" w:ascii="宋体" w:hAnsi="宋体" w:eastAsia="宋体" w:cs="宋体"/>
          <w:lang w:eastAsia="zh-CN"/>
        </w:rPr>
      </w:pPr>
    </w:p>
    <w:p w14:paraId="078C4240">
      <w:pPr>
        <w:pStyle w:val="2"/>
        <w:spacing w:line="360" w:lineRule="auto"/>
        <w:rPr>
          <w:rFonts w:hint="eastAsia" w:ascii="宋体" w:hAnsi="宋体" w:eastAsia="宋体" w:cs="宋体"/>
          <w:lang w:eastAsia="zh-CN"/>
        </w:rPr>
      </w:pPr>
      <w:bookmarkStart w:id="16" w:name="_Toc211098167"/>
      <w:bookmarkStart w:id="17" w:name="_Toc15400"/>
      <w:bookmarkStart w:id="18" w:name="_Toc23080"/>
      <w:bookmarkStart w:id="19" w:name="_Toc27385"/>
      <w:r>
        <w:rPr>
          <w:rFonts w:hint="eastAsia" w:ascii="宋体" w:hAnsi="宋体" w:eastAsia="宋体" w:cs="宋体"/>
          <w:lang w:val="en-US" w:eastAsia="zh-CN"/>
        </w:rPr>
        <w:t>3</w:t>
      </w:r>
      <w:r>
        <w:rPr>
          <w:rFonts w:hint="eastAsia" w:ascii="宋体" w:hAnsi="宋体" w:eastAsia="宋体" w:cs="宋体"/>
          <w:lang w:eastAsia="zh-CN"/>
        </w:rPr>
        <w:t xml:space="preserve"> 负责任矿产的供应链政策</w:t>
      </w:r>
      <w:r>
        <w:rPr>
          <w:rFonts w:hint="eastAsia" w:ascii="宋体" w:hAnsi="宋体" w:eastAsia="宋体" w:cs="宋体"/>
          <w:lang w:val="en-US" w:eastAsia="zh-CN"/>
        </w:rPr>
        <w:t>&amp;供应商行为准则</w:t>
      </w:r>
      <w:bookmarkEnd w:id="16"/>
      <w:bookmarkEnd w:id="17"/>
      <w:bookmarkEnd w:id="18"/>
      <w:bookmarkEnd w:id="19"/>
    </w:p>
    <w:p w14:paraId="46E7DC0F">
      <w:pPr>
        <w:spacing w:line="360" w:lineRule="auto"/>
        <w:ind w:firstLine="420"/>
        <w:rPr>
          <w:rFonts w:hint="eastAsia" w:ascii="宋体" w:hAnsi="宋体" w:eastAsia="宋体" w:cs="宋体"/>
          <w:lang w:val="en-US" w:eastAsia="zh-CN"/>
        </w:rPr>
      </w:pPr>
      <w:r>
        <w:rPr>
          <w:rFonts w:hint="eastAsia" w:ascii="宋体" w:hAnsi="宋体" w:eastAsia="宋体" w:cs="宋体"/>
          <w:i w:val="0"/>
          <w:iCs w:val="0"/>
          <w:caps w:val="0"/>
          <w:spacing w:val="0"/>
          <w:sz w:val="24"/>
          <w:szCs w:val="24"/>
          <w:shd w:val="clear" w:fill="FFFFFF"/>
        </w:rPr>
        <w:t>赣锋锂业始终坚持走可持续发展道路，既致力于在生产过程中对环境和人体友好，也确保产品能够应对全球气候变化、助力全球能源转型。公司积极推进落实可持续发展各项目标，并正式发布《赣锋锂业可持续发展准则与承诺》</w:t>
      </w:r>
      <w:r>
        <w:rPr>
          <w:rFonts w:hint="eastAsia" w:ascii="宋体" w:hAnsi="宋体" w:eastAsia="宋体" w:cs="宋体"/>
          <w:lang w:val="en-US" w:eastAsia="zh-CN"/>
        </w:rPr>
        <w:t>。</w:t>
      </w:r>
    </w:p>
    <w:p w14:paraId="756B59AB">
      <w:pPr>
        <w:spacing w:line="360" w:lineRule="auto"/>
        <w:ind w:firstLine="420"/>
        <w:rPr>
          <w:rFonts w:hint="eastAsia" w:ascii="宋体" w:hAnsi="宋体" w:eastAsia="宋体" w:cs="宋体"/>
          <w:i w:val="0"/>
          <w:iCs w:val="0"/>
          <w:caps w:val="0"/>
          <w:spacing w:val="0"/>
          <w:sz w:val="24"/>
          <w:szCs w:val="24"/>
          <w:shd w:val="clear" w:fill="FFFFFF"/>
        </w:rPr>
      </w:pPr>
      <w:r>
        <w:rPr>
          <w:rFonts w:hint="eastAsia" w:ascii="宋体" w:hAnsi="宋体" w:eastAsia="宋体" w:cs="宋体"/>
          <w:i w:val="0"/>
          <w:iCs w:val="0"/>
          <w:caps w:val="0"/>
          <w:spacing w:val="0"/>
          <w:sz w:val="24"/>
          <w:szCs w:val="24"/>
          <w:shd w:val="clear" w:fill="FFFFFF"/>
        </w:rPr>
        <w:t>在责任采购议题上，赣锋锂业遵循《经济合作与发展组织关于来自受冲突影响和高风险区域的矿石的负责任供应链尽职调查指南（第三版）》（简称《OECD指南》）、《中国矿产供应链尽责管理指南（第二版）》（简称《中国指南》）、《联合国世界人权宣言》、《国际劳工组织关于工作中基本原则和权利宣言》、《联合国工商业与人权指导原则》等国际与国内规范文件，并依据《赣锋锂业可持续发展准则与承诺》制定《可持续采购政策》，建立起完善的可持续供应链管理体系。</w:t>
      </w:r>
    </w:p>
    <w:p w14:paraId="76A8EEE1">
      <w:pPr>
        <w:spacing w:line="360" w:lineRule="auto"/>
        <w:ind w:firstLine="420"/>
        <w:rPr>
          <w:rFonts w:hint="eastAsia" w:ascii="宋体" w:hAnsi="宋体" w:eastAsia="宋体" w:cs="宋体"/>
          <w:lang w:val="en-US" w:eastAsia="zh-CN"/>
        </w:rPr>
      </w:pPr>
      <w:r>
        <w:rPr>
          <w:rFonts w:hint="eastAsia" w:ascii="宋体" w:hAnsi="宋体" w:eastAsia="宋体" w:cs="宋体"/>
          <w:i w:val="0"/>
          <w:iCs w:val="0"/>
          <w:caps w:val="0"/>
          <w:spacing w:val="0"/>
          <w:sz w:val="24"/>
          <w:szCs w:val="24"/>
          <w:shd w:val="clear" w:fill="FFFFFF"/>
        </w:rPr>
        <w:t>公司对供应商实行ESG风险绩效管控，并针对矿产供应商建立矿产供应链尽责管理体系，具体包括《负责任矿产供应链政策》《负责任矿产供应链尽责管理控制程序》，实行负责任矿产采购风险管控。相关体系均以"六步法"尽责管理框架为基础，涵盖以下核心文件：</w:t>
      </w:r>
    </w:p>
    <w:p w14:paraId="2DE12A32">
      <w:pPr>
        <w:numPr>
          <w:ilvl w:val="0"/>
          <w:numId w:val="1"/>
        </w:numPr>
        <w:spacing w:line="360" w:lineRule="auto"/>
        <w:ind w:left="420" w:hanging="420"/>
        <w:rPr>
          <w:rFonts w:hint="eastAsia" w:ascii="宋体" w:hAnsi="宋体" w:eastAsia="宋体" w:cs="宋体"/>
          <w:lang w:eastAsia="zh-CN"/>
        </w:rPr>
      </w:pPr>
      <w:r>
        <w:rPr>
          <w:rFonts w:hint="eastAsia" w:ascii="宋体" w:hAnsi="宋体" w:eastAsia="宋体" w:cs="宋体"/>
          <w:lang w:eastAsia="zh-CN"/>
        </w:rPr>
        <w:t>《负责任矿产供应链政策》明确了公司对于负责任矿产供应链政策的承诺，在全球矿产供应链中杜绝冲突、童工、侵权与污染，只采购负责任、可持续、可追溯的矿产。</w:t>
      </w:r>
    </w:p>
    <w:p w14:paraId="39956BA5">
      <w:pPr>
        <w:numPr>
          <w:ilvl w:val="0"/>
          <w:numId w:val="1"/>
        </w:numPr>
        <w:spacing w:line="360" w:lineRule="auto"/>
        <w:ind w:left="420" w:hanging="420"/>
        <w:rPr>
          <w:rFonts w:hint="eastAsia" w:ascii="宋体" w:hAnsi="宋体" w:eastAsia="宋体" w:cs="宋体"/>
          <w:lang w:eastAsia="zh-CN"/>
        </w:rPr>
      </w:pPr>
      <w:r>
        <w:rPr>
          <w:rFonts w:hint="eastAsia" w:ascii="宋体" w:hAnsi="宋体" w:eastAsia="宋体" w:cs="宋体"/>
          <w:lang w:eastAsia="zh-CN"/>
        </w:rPr>
        <w:t>《负责任矿产供应链尽责管理控制程序》旨在对《负责任矿产供应链政策》予以操作层面的细化与落地，清晰描述负责任矿产供应链的工作基础架构及实施方针。</w:t>
      </w:r>
    </w:p>
    <w:p w14:paraId="6CD64058">
      <w:pPr>
        <w:spacing w:line="360" w:lineRule="auto"/>
        <w:ind w:firstLine="0"/>
        <w:rPr>
          <w:rFonts w:hint="eastAsia" w:ascii="宋体" w:hAnsi="宋体" w:eastAsia="宋体" w:cs="宋体"/>
          <w:lang w:val="en-US" w:eastAsia="zh-CN"/>
        </w:rPr>
      </w:pPr>
    </w:p>
    <w:p w14:paraId="4ABDA821">
      <w:pPr>
        <w:spacing w:line="360" w:lineRule="auto"/>
        <w:ind w:firstLine="420"/>
        <w:rPr>
          <w:rFonts w:hint="eastAsia" w:ascii="宋体" w:hAnsi="宋体" w:eastAsia="宋体" w:cs="宋体"/>
          <w:lang w:eastAsia="zh-CN"/>
        </w:rPr>
      </w:pPr>
      <w:r>
        <w:rPr>
          <w:rFonts w:hint="eastAsia" w:ascii="宋体" w:hAnsi="宋体" w:eastAsia="宋体" w:cs="宋体"/>
          <w:lang w:val="en-US" w:eastAsia="zh-CN"/>
        </w:rPr>
        <w:t>相关体系均</w:t>
      </w:r>
      <w:r>
        <w:rPr>
          <w:rFonts w:hint="eastAsia" w:ascii="宋体" w:hAnsi="宋体" w:eastAsia="宋体" w:cs="宋体"/>
          <w:lang w:eastAsia="zh-CN"/>
        </w:rPr>
        <w:t>根据“六步法”尽责管理的框架，</w:t>
      </w:r>
      <w:r>
        <w:rPr>
          <w:rFonts w:hint="eastAsia" w:ascii="宋体" w:hAnsi="宋体" w:eastAsia="宋体" w:cs="宋体"/>
          <w:i w:val="0"/>
          <w:iCs w:val="0"/>
          <w:caps w:val="0"/>
          <w:spacing w:val="0"/>
          <w:sz w:val="24"/>
          <w:szCs w:val="24"/>
          <w:shd w:val="clear" w:fill="FFFFFF"/>
        </w:rPr>
        <w:t>公司内部根据</w:t>
      </w:r>
      <w:r>
        <w:rPr>
          <w:rFonts w:hint="eastAsia" w:ascii="宋体" w:hAnsi="宋体" w:eastAsia="宋体" w:cs="宋体"/>
          <w:i w:val="0"/>
          <w:iCs w:val="0"/>
          <w:caps w:val="0"/>
          <w:spacing w:val="0"/>
          <w:sz w:val="24"/>
          <w:szCs w:val="24"/>
          <w:shd w:val="clear" w:fill="FFFFFF"/>
          <w:lang w:val="en-US" w:eastAsia="zh-CN"/>
        </w:rPr>
        <w:t>该</w:t>
      </w:r>
      <w:r>
        <w:rPr>
          <w:rFonts w:hint="eastAsia" w:ascii="宋体" w:hAnsi="宋体" w:eastAsia="宋体" w:cs="宋体"/>
          <w:i w:val="0"/>
          <w:iCs w:val="0"/>
          <w:caps w:val="0"/>
          <w:spacing w:val="0"/>
          <w:sz w:val="24"/>
          <w:szCs w:val="24"/>
          <w:shd w:val="clear" w:fill="FFFFFF"/>
        </w:rPr>
        <w:t>框架，制定《可持续供应链管理规定》《可持续供应链区域预警流程》《可持续供应链风险识别和控制管理规定》《可持续供应链管理申诉与沟通机制》《可持续供应链补救程序》等相关文件及表单，系统降低供应链可持续风险，进一步防范矿产供应链风险，保障并提升公司全流程供应链管理水平，构建"政策—执行—验证—改进"的全链条闭环。</w:t>
      </w:r>
      <w:r>
        <w:rPr>
          <w:rFonts w:hint="eastAsia" w:ascii="宋体" w:hAnsi="宋体" w:eastAsia="宋体" w:cs="宋体"/>
          <w:lang w:val="en-US" w:eastAsia="zh-CN"/>
        </w:rPr>
        <w:t>体系</w:t>
      </w:r>
      <w:r>
        <w:rPr>
          <w:rFonts w:hint="eastAsia" w:ascii="宋体" w:hAnsi="宋体" w:eastAsia="宋体" w:cs="宋体"/>
          <w:lang w:eastAsia="zh-CN"/>
        </w:rPr>
        <w:t>流程包括以下步骤：</w:t>
      </w:r>
    </w:p>
    <w:p w14:paraId="0B0EBC5B">
      <w:pPr>
        <w:spacing w:line="360" w:lineRule="auto"/>
        <w:ind w:firstLine="420"/>
        <w:rPr>
          <w:rFonts w:hint="eastAsia" w:ascii="宋体" w:hAnsi="宋体" w:eastAsia="宋体" w:cs="宋体"/>
          <w14:ligatures w14:val="standardContextual"/>
        </w:rPr>
      </w:pPr>
      <w:r>
        <w:rPr>
          <w:rFonts w:hint="eastAsia" w:ascii="宋体" w:hAnsi="宋体" w:eastAsia="宋体" w:cs="宋体"/>
          <w14:ligatures w14:val="standardContextual"/>
        </w:rPr>
        <w:drawing>
          <wp:inline distT="0" distB="0" distL="0" distR="0">
            <wp:extent cx="5435600" cy="1383665"/>
            <wp:effectExtent l="0" t="0" r="0" b="6985"/>
            <wp:docPr id="80001565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015659" name="图片 1"/>
                    <pic:cNvPicPr>
                      <a:picLocks noChangeAspect="1"/>
                    </pic:cNvPicPr>
                  </pic:nvPicPr>
                  <pic:blipFill>
                    <a:blip r:embed="rId7"/>
                    <a:srcRect l="5637" r="12541" b="9139"/>
                    <a:stretch>
                      <a:fillRect/>
                    </a:stretch>
                  </pic:blipFill>
                  <pic:spPr>
                    <a:xfrm>
                      <a:off x="0" y="0"/>
                      <a:ext cx="5446717" cy="1386495"/>
                    </a:xfrm>
                    <a:prstGeom prst="rect">
                      <a:avLst/>
                    </a:prstGeom>
                    <a:ln>
                      <a:noFill/>
                    </a:ln>
                  </pic:spPr>
                </pic:pic>
              </a:graphicData>
            </a:graphic>
          </wp:inline>
        </w:drawing>
      </w:r>
    </w:p>
    <w:p w14:paraId="6ACA8B2A">
      <w:pPr>
        <w:spacing w:line="360" w:lineRule="auto"/>
        <w:ind w:firstLine="420"/>
        <w:rPr>
          <w:rFonts w:hint="eastAsia" w:ascii="宋体" w:hAnsi="宋体" w:eastAsia="宋体" w:cs="宋体"/>
          <w:lang w:eastAsia="zh-CN"/>
        </w:rPr>
      </w:pPr>
    </w:p>
    <w:p w14:paraId="1713B453">
      <w:pPr>
        <w:spacing w:line="360" w:lineRule="auto"/>
        <w:ind w:firstLine="420"/>
        <w:rPr>
          <w:rFonts w:hint="eastAsia" w:ascii="宋体" w:hAnsi="宋体" w:eastAsia="宋体" w:cs="宋体"/>
          <w:i w:val="0"/>
          <w:iCs w:val="0"/>
          <w:caps w:val="0"/>
          <w:spacing w:val="0"/>
          <w:sz w:val="24"/>
          <w:szCs w:val="24"/>
          <w:shd w:val="clear" w:fill="FFFFFF"/>
        </w:rPr>
      </w:pPr>
      <w:r>
        <w:rPr>
          <w:rFonts w:hint="eastAsia" w:ascii="宋体" w:hAnsi="宋体" w:eastAsia="宋体" w:cs="宋体"/>
          <w:i w:val="0"/>
          <w:iCs w:val="0"/>
          <w:caps w:val="0"/>
          <w:spacing w:val="0"/>
          <w:sz w:val="24"/>
          <w:szCs w:val="24"/>
          <w:shd w:val="clear" w:fill="FFFFFF"/>
        </w:rPr>
        <w:t>此外，赣锋锂业同步发布《供应商行为准则》</w:t>
      </w:r>
      <w:r>
        <w:rPr>
          <w:rFonts w:hint="eastAsia" w:ascii="宋体" w:hAnsi="宋体" w:eastAsia="宋体" w:cs="宋体"/>
          <w:i w:val="0"/>
          <w:iCs w:val="0"/>
          <w:caps w:val="0"/>
          <w:spacing w:val="0"/>
          <w:sz w:val="24"/>
          <w:szCs w:val="24"/>
          <w:shd w:val="clear" w:fill="FFFFFF"/>
          <w:lang w:eastAsia="zh-CN"/>
        </w:rPr>
        <w:t>《</w:t>
      </w:r>
      <w:r>
        <w:rPr>
          <w:rFonts w:hint="eastAsia" w:ascii="宋体" w:hAnsi="宋体" w:eastAsia="宋体" w:cs="宋体"/>
          <w:i w:val="0"/>
          <w:iCs w:val="0"/>
          <w:caps w:val="0"/>
          <w:spacing w:val="0"/>
          <w:sz w:val="24"/>
          <w:szCs w:val="24"/>
          <w:shd w:val="clear" w:fill="FFFFFF"/>
          <w:lang w:val="en-US" w:eastAsia="zh-CN"/>
        </w:rPr>
        <w:t>负责任矿产承诺书》</w:t>
      </w:r>
      <w:r>
        <w:rPr>
          <w:rFonts w:hint="eastAsia" w:ascii="宋体" w:hAnsi="宋体" w:eastAsia="宋体" w:cs="宋体"/>
          <w:i w:val="0"/>
          <w:iCs w:val="0"/>
          <w:caps w:val="0"/>
          <w:spacing w:val="0"/>
          <w:sz w:val="24"/>
          <w:szCs w:val="24"/>
          <w:shd w:val="clear" w:fill="FFFFFF"/>
        </w:rPr>
        <w:t>，进一步要求并传导相关ESG要求</w:t>
      </w:r>
      <w:r>
        <w:rPr>
          <w:rFonts w:hint="eastAsia" w:ascii="宋体" w:hAnsi="宋体" w:eastAsia="宋体" w:cs="宋体"/>
          <w:i w:val="0"/>
          <w:iCs w:val="0"/>
          <w:caps w:val="0"/>
          <w:spacing w:val="0"/>
          <w:sz w:val="24"/>
          <w:szCs w:val="24"/>
          <w:shd w:val="clear" w:fill="FFFFFF"/>
          <w:lang w:val="en-US" w:eastAsia="zh-CN"/>
        </w:rPr>
        <w:t>与尽责管理要求</w:t>
      </w:r>
      <w:r>
        <w:rPr>
          <w:rFonts w:hint="eastAsia" w:ascii="宋体" w:hAnsi="宋体" w:eastAsia="宋体" w:cs="宋体"/>
          <w:i w:val="0"/>
          <w:iCs w:val="0"/>
          <w:caps w:val="0"/>
          <w:spacing w:val="0"/>
          <w:sz w:val="24"/>
          <w:szCs w:val="24"/>
          <w:shd w:val="clear" w:fill="FFFFFF"/>
        </w:rPr>
        <w:t>至上游参与者，号召</w:t>
      </w:r>
      <w:r>
        <w:rPr>
          <w:rFonts w:hint="eastAsia" w:ascii="宋体" w:hAnsi="宋体" w:eastAsia="宋体" w:cs="宋体"/>
          <w:i w:val="0"/>
          <w:iCs w:val="0"/>
          <w:caps w:val="0"/>
          <w:spacing w:val="0"/>
          <w:sz w:val="24"/>
          <w:szCs w:val="24"/>
          <w:shd w:val="clear" w:fill="FFFFFF"/>
          <w:lang w:val="en-US" w:eastAsia="zh-CN"/>
        </w:rPr>
        <w:t>赣锋</w:t>
      </w:r>
      <w:r>
        <w:rPr>
          <w:rFonts w:hint="eastAsia" w:ascii="宋体" w:hAnsi="宋体" w:eastAsia="宋体" w:cs="宋体"/>
          <w:i w:val="0"/>
          <w:iCs w:val="0"/>
          <w:caps w:val="0"/>
          <w:spacing w:val="0"/>
          <w:sz w:val="24"/>
          <w:szCs w:val="24"/>
          <w:shd w:val="clear" w:fill="FFFFFF"/>
        </w:rPr>
        <w:t>供应链</w:t>
      </w:r>
      <w:r>
        <w:rPr>
          <w:rFonts w:hint="eastAsia" w:ascii="宋体" w:hAnsi="宋体" w:eastAsia="宋体" w:cs="宋体"/>
          <w:i w:val="0"/>
          <w:iCs w:val="0"/>
          <w:caps w:val="0"/>
          <w:spacing w:val="0"/>
          <w:sz w:val="24"/>
          <w:szCs w:val="24"/>
          <w:shd w:val="clear" w:fill="FFFFFF"/>
          <w:lang w:val="en-US" w:eastAsia="zh-CN"/>
        </w:rPr>
        <w:t>参与者</w:t>
      </w:r>
      <w:r>
        <w:rPr>
          <w:rFonts w:hint="eastAsia" w:ascii="宋体" w:hAnsi="宋体" w:eastAsia="宋体" w:cs="宋体"/>
          <w:i w:val="0"/>
          <w:iCs w:val="0"/>
          <w:caps w:val="0"/>
          <w:spacing w:val="0"/>
          <w:sz w:val="24"/>
          <w:szCs w:val="24"/>
          <w:shd w:val="clear" w:fill="FFFFFF"/>
        </w:rPr>
        <w:t>共同践行可持续</w:t>
      </w:r>
      <w:r>
        <w:rPr>
          <w:rFonts w:hint="eastAsia" w:ascii="宋体" w:hAnsi="宋体" w:eastAsia="宋体" w:cs="宋体"/>
          <w:i w:val="0"/>
          <w:iCs w:val="0"/>
          <w:caps w:val="0"/>
          <w:spacing w:val="0"/>
          <w:sz w:val="24"/>
          <w:szCs w:val="24"/>
          <w:shd w:val="clear" w:fill="FFFFFF"/>
          <w:lang w:val="en-US" w:eastAsia="zh-CN"/>
        </w:rPr>
        <w:t>发展</w:t>
      </w:r>
      <w:r>
        <w:rPr>
          <w:rFonts w:hint="eastAsia" w:ascii="宋体" w:hAnsi="宋体" w:eastAsia="宋体" w:cs="宋体"/>
          <w:i w:val="0"/>
          <w:iCs w:val="0"/>
          <w:caps w:val="0"/>
          <w:spacing w:val="0"/>
          <w:sz w:val="24"/>
          <w:szCs w:val="24"/>
          <w:shd w:val="clear" w:fill="FFFFFF"/>
        </w:rPr>
        <w:t>。</w:t>
      </w:r>
    </w:p>
    <w:p w14:paraId="28101B63">
      <w:pPr>
        <w:spacing w:line="360" w:lineRule="auto"/>
        <w:ind w:firstLine="420"/>
        <w:rPr>
          <w:rFonts w:hint="eastAsia" w:ascii="宋体" w:hAnsi="宋体" w:eastAsia="宋体" w:cs="宋体"/>
          <w:lang w:eastAsia="zh-CN"/>
        </w:rPr>
      </w:pPr>
      <w:r>
        <w:rPr>
          <w:rFonts w:hint="eastAsia" w:ascii="宋体" w:hAnsi="宋体" w:eastAsia="宋体" w:cs="宋体"/>
          <w:lang w:val="en-US" w:eastAsia="zh-CN"/>
        </w:rPr>
        <w:t>上述</w:t>
      </w:r>
      <w:r>
        <w:rPr>
          <w:rFonts w:hint="eastAsia" w:ascii="宋体" w:hAnsi="宋体" w:eastAsia="宋体" w:cs="宋体"/>
          <w:lang w:eastAsia="zh-CN"/>
        </w:rPr>
        <w:t>政策及程序经高级管理层审查和批准，已向相关利益相关者（供应商、客户、员工等）广泛传播，可于公司网站www.ganfenglithium.com 查阅。</w:t>
      </w:r>
      <w:r>
        <w:rPr>
          <w:rFonts w:hint="eastAsia" w:ascii="宋体" w:hAnsi="宋体" w:eastAsia="宋体" w:cs="宋体"/>
          <w:lang w:eastAsia="zh-CN"/>
        </w:rPr>
        <w:br w:type="textWrapping"/>
      </w:r>
    </w:p>
    <w:p w14:paraId="36036C71">
      <w:pPr>
        <w:spacing w:line="360" w:lineRule="auto"/>
        <w:ind w:firstLine="420"/>
        <w:rPr>
          <w:rFonts w:hint="eastAsia" w:ascii="宋体" w:hAnsi="宋体" w:eastAsia="宋体" w:cs="宋体"/>
          <w:lang w:eastAsia="zh-CN"/>
        </w:rPr>
      </w:pPr>
    </w:p>
    <w:p w14:paraId="6EBDEAD0">
      <w:pPr>
        <w:spacing w:line="360" w:lineRule="auto"/>
        <w:ind w:firstLine="0"/>
        <w:rPr>
          <w:rFonts w:hint="eastAsia" w:ascii="宋体" w:hAnsi="宋体" w:eastAsia="宋体" w:cs="宋体"/>
          <w:lang w:eastAsia="zh-CN"/>
        </w:rPr>
      </w:pPr>
    </w:p>
    <w:p w14:paraId="2FB89BCE">
      <w:pPr>
        <w:pStyle w:val="2"/>
        <w:spacing w:line="360" w:lineRule="auto"/>
        <w:rPr>
          <w:rFonts w:hint="eastAsia" w:ascii="宋体" w:hAnsi="宋体" w:eastAsia="宋体" w:cs="宋体"/>
          <w:lang w:eastAsia="zh-CN"/>
        </w:rPr>
      </w:pPr>
      <w:bookmarkStart w:id="20" w:name="_Toc10194"/>
      <w:bookmarkStart w:id="21" w:name="_Toc16595"/>
      <w:bookmarkStart w:id="22" w:name="_Toc211098168"/>
      <w:bookmarkStart w:id="23" w:name="_Toc28832"/>
      <w:r>
        <w:rPr>
          <w:rFonts w:hint="eastAsia" w:ascii="宋体" w:hAnsi="宋体" w:eastAsia="宋体" w:cs="宋体"/>
          <w:lang w:val="en-US" w:eastAsia="zh-CN"/>
        </w:rPr>
        <w:t>4</w:t>
      </w:r>
      <w:r>
        <w:rPr>
          <w:rFonts w:hint="eastAsia" w:ascii="宋体" w:hAnsi="宋体" w:eastAsia="宋体" w:cs="宋体"/>
          <w:lang w:eastAsia="zh-CN"/>
        </w:rPr>
        <w:t xml:space="preserve"> 公司管理体系（所有来源）</w:t>
      </w:r>
      <w:bookmarkEnd w:id="20"/>
      <w:bookmarkEnd w:id="21"/>
      <w:bookmarkEnd w:id="22"/>
      <w:bookmarkEnd w:id="23"/>
    </w:p>
    <w:p w14:paraId="583DF8C3">
      <w:pPr>
        <w:pStyle w:val="3"/>
        <w:spacing w:line="360" w:lineRule="auto"/>
        <w:rPr>
          <w:rFonts w:hint="eastAsia" w:ascii="宋体" w:hAnsi="宋体" w:eastAsia="宋体" w:cs="宋体"/>
          <w:lang w:eastAsia="zh-CN"/>
        </w:rPr>
      </w:pPr>
      <w:bookmarkStart w:id="24" w:name="_Toc25776"/>
      <w:bookmarkStart w:id="25" w:name="_Toc26477"/>
      <w:bookmarkStart w:id="26" w:name="_Toc211098169"/>
      <w:bookmarkStart w:id="27" w:name="_Toc21787"/>
      <w:r>
        <w:rPr>
          <w:rFonts w:hint="eastAsia" w:ascii="宋体" w:hAnsi="宋体" w:eastAsia="宋体" w:cs="宋体"/>
          <w:lang w:val="en-US" w:eastAsia="zh-CN"/>
        </w:rPr>
        <w:t>4</w:t>
      </w:r>
      <w:r>
        <w:rPr>
          <w:rFonts w:hint="eastAsia" w:ascii="宋体" w:hAnsi="宋体" w:eastAsia="宋体" w:cs="宋体"/>
          <w:lang w:eastAsia="zh-CN"/>
        </w:rPr>
        <w:t>.1 管理结构</w:t>
      </w:r>
      <w:bookmarkEnd w:id="24"/>
      <w:bookmarkEnd w:id="25"/>
      <w:bookmarkEnd w:id="26"/>
      <w:bookmarkEnd w:id="27"/>
    </w:p>
    <w:p w14:paraId="3E0F7963">
      <w:pPr>
        <w:spacing w:line="360" w:lineRule="auto"/>
        <w:ind w:firstLine="420"/>
        <w:rPr>
          <w:rFonts w:hint="eastAsia" w:ascii="宋体" w:hAnsi="宋体" w:eastAsia="宋体" w:cs="宋体"/>
          <w:lang w:eastAsia="zh-CN"/>
        </w:rPr>
      </w:pPr>
      <w:r>
        <w:rPr>
          <w:rFonts w:hint="eastAsia" w:ascii="宋体" w:hAnsi="宋体" w:eastAsia="宋体" w:cs="宋体"/>
          <w:lang w:eastAsia="zh-CN"/>
        </w:rPr>
        <w:t>赣锋锂业董事会是公司ESG事宜的最高负责及决策机构，对公司ESG的管理方针及策略履行管理和监督责任。公司在董事会层面下设可持续发展委员会，并由公司副董事长直接担任主任委员，通过制定《董事会可持续发展委员会工作细则》，明确各部门职责，以落实ESG具体事宜。202</w:t>
      </w:r>
      <w:r>
        <w:rPr>
          <w:rFonts w:hint="eastAsia" w:ascii="宋体" w:hAnsi="宋体" w:eastAsia="宋体" w:cs="宋体"/>
          <w:lang w:val="en-US" w:eastAsia="zh-CN"/>
        </w:rPr>
        <w:t>6</w:t>
      </w:r>
      <w:r>
        <w:rPr>
          <w:rFonts w:hint="eastAsia" w:ascii="宋体" w:hAnsi="宋体" w:eastAsia="宋体" w:cs="宋体"/>
          <w:lang w:eastAsia="zh-CN"/>
        </w:rPr>
        <w:t>年，公司在</w:t>
      </w:r>
      <w:r>
        <w:rPr>
          <w:rFonts w:hint="eastAsia" w:ascii="宋体" w:hAnsi="宋体" w:eastAsia="宋体" w:cs="宋体"/>
          <w:lang w:val="en-US" w:eastAsia="zh-CN"/>
        </w:rPr>
        <w:t>可持续供应链管理小组</w:t>
      </w:r>
      <w:r>
        <w:rPr>
          <w:rFonts w:hint="eastAsia" w:ascii="宋体" w:hAnsi="宋体" w:eastAsia="宋体" w:cs="宋体"/>
          <w:lang w:eastAsia="zh-CN"/>
        </w:rPr>
        <w:t>下设负责任矿产供应链尽责管理小组，</w:t>
      </w:r>
      <w:r>
        <w:rPr>
          <w:rFonts w:hint="eastAsia" w:ascii="宋体" w:hAnsi="宋体" w:eastAsia="宋体" w:cs="宋体"/>
          <w:lang w:val="en-US" w:eastAsia="zh-CN"/>
        </w:rPr>
        <w:t>更新</w:t>
      </w:r>
      <w:r>
        <w:rPr>
          <w:rFonts w:hint="eastAsia" w:ascii="宋体" w:hAnsi="宋体" w:eastAsia="宋体" w:cs="宋体"/>
          <w:lang w:eastAsia="zh-CN"/>
        </w:rPr>
        <w:t>《</w:t>
      </w:r>
      <w:r>
        <w:rPr>
          <w:rFonts w:hint="eastAsia" w:ascii="宋体" w:hAnsi="宋体" w:eastAsia="宋体" w:cs="宋体"/>
          <w:lang w:val="en-US" w:eastAsia="zh-CN"/>
        </w:rPr>
        <w:t>可持续</w:t>
      </w:r>
      <w:r>
        <w:rPr>
          <w:rFonts w:hint="eastAsia" w:ascii="宋体" w:hAnsi="宋体" w:eastAsia="宋体" w:cs="宋体"/>
          <w:lang w:eastAsia="zh-CN"/>
        </w:rPr>
        <w:t>供应链尽责管理规定》，搭建一系列完整的供应链控制体系，通过以下措施和程序确保绝不采购和使用受冲突影响地区来的冲突原料，防止任何冲突原料和不明原料进入赣锋的生产，防止矿物的开采和贸易成为冲突、人权侵犯和不安全的来源。</w:t>
      </w:r>
    </w:p>
    <w:p w14:paraId="4DB469EE">
      <w:pPr>
        <w:spacing w:line="360" w:lineRule="auto"/>
        <w:ind w:firstLine="420"/>
        <w:rPr>
          <w:rFonts w:hint="eastAsia" w:ascii="宋体" w:hAnsi="宋体" w:eastAsia="宋体" w:cs="宋体"/>
          <w:lang w:eastAsia="zh-CN"/>
        </w:rPr>
      </w:pPr>
    </w:p>
    <w:p w14:paraId="7A8BBA56">
      <w:pPr>
        <w:spacing w:line="360" w:lineRule="auto"/>
        <w:ind w:firstLine="420"/>
        <w:jc w:val="center"/>
        <w:rPr>
          <w:rFonts w:hint="eastAsia" w:ascii="宋体" w:hAnsi="宋体" w:eastAsia="宋体" w:cs="宋体"/>
          <w:lang w:eastAsia="zh-CN"/>
        </w:rPr>
      </w:pPr>
      <w:r>
        <w:rPr>
          <w:rFonts w:hint="eastAsia" w:ascii="宋体" w:hAnsi="宋体" w:eastAsia="宋体" w:cs="宋体"/>
        </w:rPr>
        <w:drawing>
          <wp:inline distT="0" distB="0" distL="114300" distR="114300">
            <wp:extent cx="3206115" cy="2624455"/>
            <wp:effectExtent l="0" t="0" r="6985" b="444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8"/>
                    <a:stretch>
                      <a:fillRect/>
                    </a:stretch>
                  </pic:blipFill>
                  <pic:spPr>
                    <a:xfrm>
                      <a:off x="0" y="0"/>
                      <a:ext cx="3206115" cy="2624455"/>
                    </a:xfrm>
                    <a:prstGeom prst="rect">
                      <a:avLst/>
                    </a:prstGeom>
                    <a:noFill/>
                    <a:ln>
                      <a:noFill/>
                    </a:ln>
                  </pic:spPr>
                </pic:pic>
              </a:graphicData>
            </a:graphic>
          </wp:inline>
        </w:drawing>
      </w:r>
    </w:p>
    <w:p w14:paraId="57226C27">
      <w:pPr>
        <w:spacing w:line="360" w:lineRule="auto"/>
        <w:ind w:firstLine="420"/>
        <w:rPr>
          <w:rFonts w:hint="eastAsia" w:ascii="宋体" w:hAnsi="宋体" w:eastAsia="宋体" w:cs="宋体"/>
          <w:lang w:eastAsia="zh-CN"/>
        </w:rPr>
      </w:pPr>
    </w:p>
    <w:p w14:paraId="3A1E5EE3">
      <w:pPr>
        <w:spacing w:line="360" w:lineRule="auto"/>
        <w:ind w:firstLine="420"/>
        <w:rPr>
          <w:rFonts w:hint="eastAsia" w:ascii="宋体" w:hAnsi="宋体" w:eastAsia="宋体" w:cs="宋体"/>
          <w:lang w:eastAsia="zh-CN"/>
        </w:rPr>
      </w:pPr>
      <w:r>
        <w:rPr>
          <w:rFonts w:hint="eastAsia" w:ascii="宋体" w:hAnsi="宋体" w:eastAsia="宋体" w:cs="宋体"/>
          <w:lang w:eastAsia="zh-CN"/>
        </w:rPr>
        <w:t>赣锋严格恪守在供应链政策方面的承诺，并制定了以下方面的</w:t>
      </w:r>
      <w:r>
        <w:rPr>
          <w:rFonts w:hint="eastAsia" w:ascii="宋体" w:hAnsi="宋体" w:eastAsia="宋体" w:cs="宋体"/>
          <w:lang w:val="en-US" w:eastAsia="zh-CN"/>
        </w:rPr>
        <w:t>尽责管理</w:t>
      </w:r>
      <w:r>
        <w:rPr>
          <w:rFonts w:hint="eastAsia" w:ascii="宋体" w:hAnsi="宋体" w:eastAsia="宋体" w:cs="宋体"/>
          <w:lang w:eastAsia="zh-CN"/>
        </w:rPr>
        <w:t>内部流程：</w:t>
      </w:r>
    </w:p>
    <w:p w14:paraId="1C03DC08">
      <w:pPr>
        <w:spacing w:line="360" w:lineRule="auto"/>
        <w:ind w:firstLine="420"/>
        <w:rPr>
          <w:rFonts w:hint="eastAsia" w:ascii="宋体" w:hAnsi="宋体" w:eastAsia="宋体" w:cs="宋体"/>
          <w:lang w:eastAsia="zh-CN"/>
        </w:rPr>
      </w:pPr>
      <w:r>
        <w:rPr>
          <w:rFonts w:hint="eastAsia" w:ascii="宋体" w:hAnsi="宋体" w:eastAsia="宋体" w:cs="宋体"/>
          <w:lang w:eastAsia="zh-CN"/>
        </w:rPr>
        <w:t>（1）公司</w:t>
      </w:r>
      <w:r>
        <w:rPr>
          <w:rFonts w:hint="eastAsia" w:ascii="宋体" w:hAnsi="宋体" w:eastAsia="宋体" w:cs="宋体"/>
          <w:lang w:val="en-US" w:eastAsia="zh-CN"/>
        </w:rPr>
        <w:t>副</w:t>
      </w:r>
      <w:r>
        <w:rPr>
          <w:rFonts w:hint="eastAsia" w:ascii="宋体" w:hAnsi="宋体" w:eastAsia="宋体" w:cs="宋体"/>
          <w:lang w:eastAsia="zh-CN"/>
        </w:rPr>
        <w:t>总裁负责监督尽职调查计划和风险管理的设计和实施。</w:t>
      </w:r>
    </w:p>
    <w:p w14:paraId="5036DDE4">
      <w:pPr>
        <w:spacing w:line="360" w:lineRule="auto"/>
        <w:ind w:firstLine="420"/>
        <w:rPr>
          <w:rFonts w:hint="eastAsia" w:ascii="宋体" w:hAnsi="宋体" w:eastAsia="宋体" w:cs="宋体"/>
          <w:lang w:eastAsia="zh-CN"/>
        </w:rPr>
      </w:pPr>
      <w:r>
        <w:rPr>
          <w:rFonts w:hint="eastAsia" w:ascii="宋体" w:hAnsi="宋体" w:eastAsia="宋体" w:cs="宋体"/>
          <w:lang w:eastAsia="zh-CN"/>
        </w:rPr>
        <w:t>（2）公司已任命</w:t>
      </w:r>
      <w:r>
        <w:rPr>
          <w:rFonts w:hint="eastAsia" w:ascii="宋体" w:hAnsi="宋体" w:eastAsia="宋体" w:cs="宋体"/>
          <w:lang w:val="en-US" w:eastAsia="zh-CN"/>
        </w:rPr>
        <w:t>尽责管理</w:t>
      </w:r>
      <w:r>
        <w:rPr>
          <w:rFonts w:hint="eastAsia" w:ascii="宋体" w:hAnsi="宋体" w:eastAsia="宋体" w:cs="宋体"/>
          <w:lang w:eastAsia="zh-CN"/>
        </w:rPr>
        <w:t>经理协调相关部门（包括营销中心、</w:t>
      </w:r>
      <w:r>
        <w:rPr>
          <w:rFonts w:hint="eastAsia" w:ascii="宋体" w:hAnsi="宋体" w:eastAsia="宋体" w:cs="宋体"/>
          <w:lang w:val="en-US" w:eastAsia="zh-CN"/>
        </w:rPr>
        <w:t>战略采购部、</w:t>
      </w:r>
      <w:r>
        <w:rPr>
          <w:rFonts w:hint="eastAsia" w:ascii="宋体" w:hAnsi="宋体" w:eastAsia="宋体" w:cs="宋体"/>
          <w:lang w:eastAsia="zh-CN"/>
        </w:rPr>
        <w:t>ESG部等）的工作，确保各部门恪尽职守，执行</w:t>
      </w:r>
      <w:r>
        <w:rPr>
          <w:rFonts w:hint="eastAsia" w:ascii="宋体" w:hAnsi="宋体" w:eastAsia="宋体" w:cs="宋体"/>
          <w:lang w:val="en-US" w:eastAsia="zh-CN"/>
        </w:rPr>
        <w:t>负责任矿产供应链尽责管理体系</w:t>
      </w:r>
      <w:r>
        <w:rPr>
          <w:rFonts w:hint="eastAsia" w:ascii="宋体" w:hAnsi="宋体" w:eastAsia="宋体" w:cs="宋体"/>
          <w:lang w:eastAsia="zh-CN"/>
        </w:rPr>
        <w:t>并报告所发现的任何警示信号和潜在风险。</w:t>
      </w:r>
    </w:p>
    <w:p w14:paraId="67ADA6A4">
      <w:pPr>
        <w:spacing w:line="360" w:lineRule="auto"/>
        <w:ind w:firstLine="420"/>
        <w:rPr>
          <w:rFonts w:hint="eastAsia" w:ascii="宋体" w:hAnsi="宋体" w:eastAsia="宋体" w:cs="宋体"/>
          <w:lang w:eastAsia="zh-CN"/>
        </w:rPr>
      </w:pPr>
      <w:r>
        <w:rPr>
          <w:rFonts w:hint="eastAsia" w:ascii="宋体" w:hAnsi="宋体" w:eastAsia="宋体" w:cs="宋体"/>
          <w:lang w:eastAsia="zh-CN"/>
        </w:rPr>
        <w:t>（3）公司按照</w:t>
      </w:r>
      <w:r>
        <w:rPr>
          <w:rFonts w:hint="eastAsia" w:ascii="宋体" w:hAnsi="宋体" w:eastAsia="宋体" w:cs="宋体"/>
          <w:lang w:val="en-US" w:eastAsia="zh-CN"/>
        </w:rPr>
        <w:t>负责任矿产供应链尽责管理</w:t>
      </w:r>
      <w:r>
        <w:rPr>
          <w:rFonts w:hint="eastAsia" w:ascii="宋体" w:hAnsi="宋体" w:eastAsia="宋体" w:cs="宋体"/>
          <w:lang w:eastAsia="zh-CN"/>
        </w:rPr>
        <w:t>的要求每年对所有相关部门的主要人员开展至少一次</w:t>
      </w:r>
      <w:r>
        <w:rPr>
          <w:rFonts w:hint="eastAsia" w:ascii="宋体" w:hAnsi="宋体" w:eastAsia="宋体" w:cs="宋体"/>
          <w:lang w:val="en-US" w:eastAsia="zh-CN"/>
        </w:rPr>
        <w:t>尽责</w:t>
      </w:r>
      <w:r>
        <w:rPr>
          <w:rFonts w:hint="eastAsia" w:ascii="宋体" w:hAnsi="宋体" w:eastAsia="宋体" w:cs="宋体"/>
          <w:lang w:eastAsia="zh-CN"/>
        </w:rPr>
        <w:t>管理体系培训。如计划有更新，公司会根据需要开展额外培训。</w:t>
      </w:r>
    </w:p>
    <w:p w14:paraId="22D48669">
      <w:pPr>
        <w:pStyle w:val="3"/>
        <w:spacing w:line="360" w:lineRule="auto"/>
        <w:rPr>
          <w:rFonts w:hint="eastAsia" w:ascii="宋体" w:hAnsi="宋体" w:eastAsia="宋体" w:cs="宋体"/>
          <w:lang w:eastAsia="zh-CN"/>
        </w:rPr>
      </w:pPr>
      <w:bookmarkStart w:id="28" w:name="_Toc2069"/>
      <w:bookmarkStart w:id="29" w:name="_Toc20441"/>
      <w:bookmarkStart w:id="30" w:name="_Toc211098170"/>
      <w:bookmarkStart w:id="31" w:name="_Toc25354"/>
      <w:r>
        <w:rPr>
          <w:rFonts w:hint="eastAsia" w:ascii="宋体" w:hAnsi="宋体" w:eastAsia="宋体" w:cs="宋体"/>
          <w:lang w:eastAsia="zh-CN"/>
        </w:rPr>
        <w:t>3.2 内部控制系统</w:t>
      </w:r>
      <w:bookmarkEnd w:id="28"/>
      <w:bookmarkEnd w:id="29"/>
      <w:bookmarkEnd w:id="30"/>
      <w:bookmarkEnd w:id="31"/>
    </w:p>
    <w:p w14:paraId="742E4C92">
      <w:pPr>
        <w:spacing w:line="360" w:lineRule="auto"/>
        <w:ind w:firstLine="420"/>
        <w:rPr>
          <w:rFonts w:hint="eastAsia" w:ascii="宋体" w:hAnsi="宋体" w:eastAsia="宋体" w:cs="宋体"/>
          <w:lang w:eastAsia="zh-CN"/>
        </w:rPr>
      </w:pPr>
      <w:r>
        <w:rPr>
          <w:rFonts w:hint="eastAsia" w:ascii="宋体" w:hAnsi="宋体" w:eastAsia="宋体" w:cs="宋体"/>
          <w:lang w:eastAsia="zh-CN"/>
        </w:rPr>
        <w:t>202</w:t>
      </w:r>
      <w:r>
        <w:rPr>
          <w:rFonts w:hint="eastAsia" w:ascii="宋体" w:hAnsi="宋体" w:eastAsia="宋体" w:cs="宋体"/>
          <w:lang w:val="en-US" w:eastAsia="zh-CN"/>
        </w:rPr>
        <w:t>6</w:t>
      </w:r>
      <w:r>
        <w:rPr>
          <w:rFonts w:hint="eastAsia" w:ascii="宋体" w:hAnsi="宋体" w:eastAsia="宋体" w:cs="宋体"/>
          <w:lang w:eastAsia="zh-CN"/>
        </w:rPr>
        <w:t>年，公司</w:t>
      </w:r>
      <w:r>
        <w:rPr>
          <w:rFonts w:hint="eastAsia" w:ascii="宋体" w:hAnsi="宋体" w:eastAsia="宋体" w:cs="宋体"/>
          <w:lang w:val="en-US" w:eastAsia="zh-CN"/>
        </w:rPr>
        <w:t>于官网公布</w:t>
      </w:r>
      <w:r>
        <w:rPr>
          <w:rFonts w:hint="eastAsia" w:ascii="宋体" w:hAnsi="宋体" w:eastAsia="宋体" w:cs="宋体"/>
          <w:lang w:eastAsia="zh-CN"/>
        </w:rPr>
        <w:t>包括《赣锋锂业供应商行为准则》《负责任矿产供应链政策》《负责任矿产供应链尽责管理控制程序》在内的矿产供应链尽责管理体系及相关程序文件，持续推动</w:t>
      </w:r>
      <w:r>
        <w:rPr>
          <w:rFonts w:hint="eastAsia" w:ascii="宋体" w:hAnsi="宋体" w:eastAsia="宋体" w:cs="宋体"/>
          <w:lang w:val="en-US" w:eastAsia="zh-CN"/>
        </w:rPr>
        <w:t>矿产</w:t>
      </w:r>
      <w:r>
        <w:rPr>
          <w:rFonts w:hint="eastAsia" w:ascii="宋体" w:hAnsi="宋体" w:eastAsia="宋体" w:cs="宋体"/>
          <w:lang w:eastAsia="zh-CN"/>
        </w:rPr>
        <w:t>供应链尽责管理工作。赣锋将矿产供应链尽责管理流程纳入可持续发展体系，从</w:t>
      </w:r>
      <w:r>
        <w:rPr>
          <w:rFonts w:hint="eastAsia" w:ascii="宋体" w:hAnsi="宋体" w:eastAsia="宋体" w:cs="宋体"/>
          <w:szCs w:val="28"/>
          <w:lang w:eastAsia="zh-CN"/>
        </w:rPr>
        <w:t>社会责任、职业健康安全、环境保护、合规与商业道德、负责任采购</w:t>
      </w:r>
      <w:r>
        <w:rPr>
          <w:rFonts w:hint="eastAsia" w:ascii="宋体" w:hAnsi="宋体" w:eastAsia="宋体" w:cs="宋体"/>
          <w:lang w:eastAsia="zh-CN"/>
        </w:rPr>
        <w:t>等方面综合引导和规范上游关键原材料供应商行为。</w:t>
      </w:r>
    </w:p>
    <w:p w14:paraId="5EDE66E7">
      <w:pPr>
        <w:spacing w:line="360" w:lineRule="auto"/>
        <w:ind w:firstLine="420"/>
        <w:rPr>
          <w:rFonts w:hint="eastAsia" w:ascii="宋体" w:hAnsi="宋体" w:eastAsia="宋体" w:cs="宋体"/>
          <w:lang w:eastAsia="zh-CN"/>
        </w:rPr>
      </w:pPr>
      <w:r>
        <w:rPr>
          <w:rFonts w:hint="eastAsia" w:ascii="宋体" w:hAnsi="宋体" w:eastAsia="宋体" w:cs="宋体"/>
          <w:lang w:eastAsia="zh-CN"/>
        </w:rPr>
        <w:t>每年在公司</w:t>
      </w:r>
      <w:r>
        <w:rPr>
          <w:rFonts w:hint="eastAsia" w:ascii="宋体" w:hAnsi="宋体" w:eastAsia="宋体" w:cs="宋体"/>
          <w:lang w:val="en-US" w:eastAsia="zh-CN"/>
        </w:rPr>
        <w:t>可持续供应链</w:t>
      </w:r>
      <w:r>
        <w:rPr>
          <w:rFonts w:hint="eastAsia" w:ascii="宋体" w:hAnsi="宋体" w:eastAsia="宋体" w:cs="宋体"/>
          <w:lang w:eastAsia="zh-CN"/>
        </w:rPr>
        <w:t>管理小组的带领下，公司更新</w:t>
      </w:r>
      <w:r>
        <w:rPr>
          <w:rFonts w:hint="eastAsia" w:ascii="宋体" w:hAnsi="宋体" w:eastAsia="宋体" w:cs="宋体"/>
          <w:lang w:val="en-US" w:eastAsia="zh-CN"/>
        </w:rPr>
        <w:t>相关政策、程序</w:t>
      </w:r>
      <w:r>
        <w:rPr>
          <w:rFonts w:hint="eastAsia" w:ascii="宋体" w:hAnsi="宋体" w:eastAsia="宋体" w:cs="宋体"/>
          <w:lang w:eastAsia="zh-CN"/>
        </w:rPr>
        <w:t>文件，完善供应链尽责管理工作。持续跟进供应商签署《供应商为准则》《</w:t>
      </w:r>
      <w:r>
        <w:rPr>
          <w:rFonts w:hint="eastAsia" w:ascii="宋体" w:hAnsi="宋体" w:eastAsia="宋体" w:cs="宋体"/>
          <w:lang w:val="en-US" w:eastAsia="zh-CN"/>
        </w:rPr>
        <w:t>负责任矿产承诺书》</w:t>
      </w:r>
      <w:r>
        <w:rPr>
          <w:rFonts w:hint="eastAsia" w:ascii="宋体" w:hAnsi="宋体" w:eastAsia="宋体" w:cs="宋体"/>
          <w:lang w:eastAsia="zh-CN"/>
        </w:rPr>
        <w:t>情况，引导和规范上游矿产供应商行为，鼓励其承担更多的环境责任和社会责任。</w:t>
      </w:r>
    </w:p>
    <w:p w14:paraId="308ABBCD">
      <w:pPr>
        <w:spacing w:line="360" w:lineRule="auto"/>
        <w:ind w:firstLine="420"/>
        <w:rPr>
          <w:rFonts w:hint="eastAsia" w:ascii="宋体" w:hAnsi="宋体" w:eastAsia="宋体" w:cs="宋体"/>
          <w:lang w:eastAsia="zh-CN"/>
        </w:rPr>
      </w:pPr>
      <w:r>
        <w:rPr>
          <w:rFonts w:hint="eastAsia" w:ascii="宋体" w:hAnsi="宋体" w:eastAsia="宋体" w:cs="宋体"/>
          <w:lang w:eastAsia="zh-CN"/>
        </w:rPr>
        <w:t>公司建立了申诉机制，建立联系渠道，收集有关方面的申诉信息，联系/申诉方式公布于赣锋官网可持续发展模块。</w:t>
      </w:r>
    </w:p>
    <w:p w14:paraId="6E804072">
      <w:pPr>
        <w:spacing w:after="120" w:line="360" w:lineRule="auto"/>
        <w:ind w:firstLine="480"/>
        <w:rPr>
          <w:rFonts w:hint="eastAsia" w:ascii="宋体" w:hAnsi="宋体" w:eastAsia="宋体" w:cs="宋体"/>
          <w:sz w:val="24"/>
          <w:szCs w:val="24"/>
        </w:rPr>
      </w:pPr>
      <w:r>
        <w:rPr>
          <w:rFonts w:hint="eastAsia" w:ascii="宋体" w:hAnsi="宋体" w:eastAsia="宋体" w:cs="宋体"/>
          <w:b w:val="0"/>
          <w:sz w:val="24"/>
        </w:rPr>
        <w:t>公司建立了供应链控制和透明度体系，开展供应链追溯管理：收集原料来源国和地区、上游参与者的名称和地址、运输路线和运输方式、矿产或金属的商品名和类型、直接供应商及其他已知上游企业的所有权等信息，同时尽可能避免现金交易；公司建立了内部物料管控制度，确保原料从入厂到成品出货的全过程追溯；公司建立了盘点制度，按月进行盘点。</w:t>
      </w:r>
    </w:p>
    <w:p w14:paraId="65BDCAB4">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2026年，公司举行了负责任矿产供应链管理相关的管理评审，输出管理评审报告，并对公司的可持续供应链管理体系建设的合理性和有效性、尽责管理的表现进行评审，提出改善意见和建议，由可持续发展办公室跟踪意见和建议的改善进度。</w:t>
      </w:r>
    </w:p>
    <w:p w14:paraId="219B3AF7">
      <w:pPr>
        <w:pStyle w:val="3"/>
        <w:spacing w:line="360" w:lineRule="auto"/>
        <w:rPr>
          <w:rFonts w:hint="eastAsia" w:ascii="宋体" w:hAnsi="宋体" w:eastAsia="宋体" w:cs="宋体"/>
          <w:lang w:eastAsia="zh-CN"/>
        </w:rPr>
      </w:pPr>
      <w:bookmarkStart w:id="32" w:name="_Toc27530"/>
      <w:bookmarkStart w:id="33" w:name="_Toc484"/>
      <w:bookmarkStart w:id="34" w:name="_Toc18322"/>
      <w:bookmarkStart w:id="35" w:name="_Toc211098171"/>
      <w:r>
        <w:rPr>
          <w:rFonts w:hint="eastAsia" w:ascii="宋体" w:hAnsi="宋体" w:eastAsia="宋体" w:cs="宋体"/>
          <w:lang w:val="en-US" w:eastAsia="zh-CN"/>
        </w:rPr>
        <w:t>4</w:t>
      </w:r>
      <w:r>
        <w:rPr>
          <w:rFonts w:hint="eastAsia" w:ascii="宋体" w:hAnsi="宋体" w:eastAsia="宋体" w:cs="宋体"/>
          <w:lang w:eastAsia="zh-CN"/>
        </w:rPr>
        <w:t>.3 记录保留系统</w:t>
      </w:r>
      <w:bookmarkEnd w:id="32"/>
      <w:bookmarkEnd w:id="33"/>
      <w:bookmarkEnd w:id="34"/>
      <w:bookmarkEnd w:id="35"/>
    </w:p>
    <w:p w14:paraId="2BFE5A1F">
      <w:pPr>
        <w:spacing w:line="360" w:lineRule="auto"/>
        <w:ind w:firstLine="420"/>
        <w:rPr>
          <w:rFonts w:hint="eastAsia" w:ascii="宋体" w:hAnsi="宋体" w:eastAsia="宋体" w:cs="宋体"/>
          <w:lang w:eastAsia="zh-CN"/>
        </w:rPr>
      </w:pPr>
      <w:r>
        <w:rPr>
          <w:rFonts w:hint="eastAsia" w:ascii="宋体" w:hAnsi="宋体" w:eastAsia="宋体" w:cs="宋体"/>
          <w:lang w:eastAsia="zh-CN"/>
        </w:rPr>
        <w:t>公司要求与</w:t>
      </w:r>
      <w:r>
        <w:rPr>
          <w:rFonts w:hint="eastAsia" w:ascii="宋体" w:hAnsi="宋体" w:eastAsia="宋体" w:cs="宋体"/>
          <w:lang w:val="en-US" w:eastAsia="zh-CN"/>
        </w:rPr>
        <w:t>可持续供应链管理体系（含负责任矿产供应链管理体系）</w:t>
      </w:r>
      <w:r>
        <w:rPr>
          <w:rFonts w:hint="eastAsia" w:ascii="宋体" w:hAnsi="宋体" w:eastAsia="宋体" w:cs="宋体"/>
          <w:lang w:eastAsia="zh-CN"/>
        </w:rPr>
        <w:t>相关的所有记录至少保存十年，与供应商相关的资质文件、沟通记录都定期更新并建档保存。</w:t>
      </w:r>
    </w:p>
    <w:p w14:paraId="388FBA28">
      <w:pPr>
        <w:pStyle w:val="2"/>
        <w:spacing w:line="360" w:lineRule="auto"/>
        <w:rPr>
          <w:rFonts w:hint="eastAsia" w:ascii="宋体" w:hAnsi="宋体" w:eastAsia="宋体" w:cs="宋体"/>
          <w:lang w:eastAsia="zh-CN"/>
        </w:rPr>
      </w:pPr>
      <w:bookmarkStart w:id="36" w:name="_Toc211098172"/>
      <w:bookmarkStart w:id="37" w:name="_Toc21142"/>
      <w:bookmarkStart w:id="38" w:name="_Toc15484"/>
      <w:bookmarkStart w:id="39" w:name="_Toc19919"/>
      <w:r>
        <w:rPr>
          <w:rFonts w:hint="eastAsia" w:ascii="宋体" w:hAnsi="宋体" w:eastAsia="宋体" w:cs="宋体"/>
          <w:lang w:val="en-US" w:eastAsia="zh-CN"/>
        </w:rPr>
        <w:t>5</w:t>
      </w:r>
      <w:r>
        <w:rPr>
          <w:rFonts w:hint="eastAsia" w:ascii="宋体" w:hAnsi="宋体" w:eastAsia="宋体" w:cs="宋体"/>
          <w:lang w:eastAsia="zh-CN"/>
        </w:rPr>
        <w:t xml:space="preserve"> 风险识别</w:t>
      </w:r>
      <w:r>
        <w:rPr>
          <w:rFonts w:hint="eastAsia" w:ascii="宋体" w:hAnsi="宋体" w:eastAsia="宋体" w:cs="宋体"/>
          <w:lang w:val="en-US" w:eastAsia="zh-CN"/>
        </w:rPr>
        <w:t>与评估</w:t>
      </w:r>
      <w:bookmarkEnd w:id="36"/>
      <w:bookmarkEnd w:id="37"/>
      <w:bookmarkEnd w:id="38"/>
      <w:bookmarkEnd w:id="39"/>
    </w:p>
    <w:p w14:paraId="331FB25C">
      <w:pPr>
        <w:spacing w:after="120" w:line="360" w:lineRule="auto"/>
        <w:ind w:firstLine="480"/>
        <w:rPr>
          <w:rFonts w:hint="eastAsia" w:ascii="宋体" w:hAnsi="宋体" w:eastAsia="宋体" w:cs="宋体"/>
        </w:rPr>
      </w:pPr>
      <w:r>
        <w:rPr>
          <w:rFonts w:hint="eastAsia" w:ascii="宋体" w:hAnsi="宋体" w:eastAsia="宋体" w:cs="宋体"/>
          <w:b w:val="0"/>
          <w:sz w:val="24"/>
        </w:rPr>
        <w:t>公司产品所涵盖的负责任矿产仅为锂，公司对所有锂供应商实施尽责管理，并制定《负责任矿产供应链尽责管理控制程序》用于识别供应链中的风险。</w:t>
      </w:r>
    </w:p>
    <w:p w14:paraId="09E9D1E6">
      <w:pPr>
        <w:spacing w:line="360" w:lineRule="auto"/>
        <w:ind w:firstLine="420"/>
        <w:rPr>
          <w:rFonts w:hint="eastAsia" w:ascii="宋体" w:hAnsi="宋体" w:eastAsia="宋体" w:cs="宋体"/>
          <w:lang w:val="en-US" w:eastAsia="zh-CN"/>
        </w:rPr>
      </w:pPr>
    </w:p>
    <w:p w14:paraId="306DBFFE">
      <w:pPr>
        <w:spacing w:line="360" w:lineRule="auto"/>
        <w:rPr>
          <w:rFonts w:hint="eastAsia" w:ascii="宋体" w:hAnsi="宋体" w:eastAsia="宋体" w:cs="宋体"/>
          <w:lang w:eastAsia="zh-CN"/>
        </w:rPr>
      </w:pPr>
      <w:r>
        <w:rPr>
          <w:rFonts w:hint="eastAsia" w:ascii="宋体" w:hAnsi="宋体" w:eastAsia="宋体" w:cs="宋体"/>
          <w:lang w:eastAsia="zh-CN"/>
        </w:rPr>
        <w:tab/>
      </w:r>
    </w:p>
    <w:p w14:paraId="577DB1F8">
      <w:pPr>
        <w:pStyle w:val="3"/>
        <w:spacing w:line="360" w:lineRule="auto"/>
        <w:rPr>
          <w:rFonts w:hint="eastAsia" w:ascii="宋体" w:hAnsi="宋体" w:eastAsia="宋体" w:cs="宋体"/>
          <w:lang w:eastAsia="zh-CN"/>
        </w:rPr>
      </w:pPr>
      <w:bookmarkStart w:id="40" w:name="_Toc29136"/>
      <w:bookmarkStart w:id="41" w:name="_Toc24677"/>
      <w:bookmarkStart w:id="42" w:name="_Toc19892"/>
      <w:bookmarkStart w:id="43" w:name="_Toc211098173"/>
      <w:r>
        <w:rPr>
          <w:rFonts w:hint="eastAsia" w:ascii="宋体" w:hAnsi="宋体" w:eastAsia="宋体" w:cs="宋体"/>
          <w:lang w:val="en-US" w:eastAsia="zh-CN"/>
        </w:rPr>
        <w:t>5</w:t>
      </w:r>
      <w:r>
        <w:rPr>
          <w:rFonts w:hint="eastAsia" w:ascii="宋体" w:hAnsi="宋体" w:eastAsia="宋体" w:cs="宋体"/>
          <w:lang w:eastAsia="zh-CN"/>
        </w:rPr>
        <w:t>.1</w:t>
      </w:r>
      <w:r>
        <w:rPr>
          <w:rFonts w:hint="eastAsia" w:ascii="宋体" w:hAnsi="宋体" w:eastAsia="宋体" w:cs="宋体"/>
          <w:lang w:val="en-US" w:eastAsia="zh-CN"/>
        </w:rPr>
        <w:t>供应商信息收集</w:t>
      </w:r>
      <w:bookmarkEnd w:id="40"/>
      <w:bookmarkEnd w:id="41"/>
      <w:bookmarkEnd w:id="42"/>
      <w:r>
        <w:rPr>
          <w:rFonts w:hint="eastAsia" w:ascii="宋体" w:hAnsi="宋体" w:eastAsia="宋体" w:cs="宋体"/>
          <w:lang w:eastAsia="zh-CN"/>
        </w:rPr>
        <w:t xml:space="preserve"> </w:t>
      </w:r>
    </w:p>
    <w:p w14:paraId="3721703C">
      <w:pPr>
        <w:spacing w:line="360" w:lineRule="auto"/>
        <w:ind w:firstLine="420"/>
        <w:rPr>
          <w:rFonts w:hint="eastAsia" w:ascii="宋体" w:hAnsi="宋体" w:eastAsia="宋体" w:cs="宋体"/>
          <w:lang w:val="en-US" w:eastAsia="zh-CN"/>
        </w:rPr>
      </w:pPr>
      <w:r>
        <w:rPr>
          <w:rFonts w:hint="eastAsia" w:ascii="宋体" w:hAnsi="宋体" w:eastAsia="宋体" w:cs="宋体"/>
          <w:lang w:val="en-US" w:eastAsia="zh-CN"/>
        </w:rPr>
        <w:t>公司通过第三方信息、KYS问卷调查、矿产来源调查、桌面评估、实地评估、申诉机制、客供反馈等方式定期收集供应商相关信息。报告期内，锂供应商信息收集对象的覆盖率达100%。</w:t>
      </w:r>
    </w:p>
    <w:p w14:paraId="73045984">
      <w:pPr>
        <w:spacing w:line="360" w:lineRule="auto"/>
        <w:rPr>
          <w:rFonts w:hint="eastAsia" w:ascii="宋体" w:hAnsi="宋体" w:eastAsia="宋体" w:cs="宋体"/>
          <w:lang w:eastAsia="zh-CN"/>
        </w:rPr>
      </w:pPr>
    </w:p>
    <w:p w14:paraId="2218ABF8">
      <w:pPr>
        <w:pStyle w:val="3"/>
        <w:spacing w:line="360" w:lineRule="auto"/>
        <w:rPr>
          <w:rFonts w:hint="eastAsia" w:ascii="宋体" w:hAnsi="宋体" w:eastAsia="宋体" w:cs="宋体"/>
          <w:lang w:eastAsia="zh-CN"/>
        </w:rPr>
      </w:pPr>
      <w:bookmarkStart w:id="44" w:name="_Toc13922"/>
      <w:bookmarkStart w:id="45" w:name="_Toc15643"/>
      <w:bookmarkStart w:id="46" w:name="_Toc32153"/>
      <w:r>
        <w:rPr>
          <w:rFonts w:hint="eastAsia" w:ascii="宋体" w:hAnsi="宋体" w:eastAsia="宋体" w:cs="宋体"/>
          <w:lang w:val="en-US" w:eastAsia="zh-CN"/>
        </w:rPr>
        <w:t>5.2 受冲突影响与高风险地区（下称“</w:t>
      </w:r>
      <w:r>
        <w:rPr>
          <w:rFonts w:hint="eastAsia" w:ascii="宋体" w:hAnsi="宋体" w:eastAsia="宋体" w:cs="宋体"/>
          <w:lang w:eastAsia="zh-CN"/>
        </w:rPr>
        <w:t>CAHRAs”）识别</w:t>
      </w:r>
      <w:bookmarkEnd w:id="43"/>
      <w:bookmarkEnd w:id="44"/>
      <w:bookmarkEnd w:id="45"/>
      <w:bookmarkEnd w:id="46"/>
    </w:p>
    <w:p w14:paraId="31162087">
      <w:pPr>
        <w:spacing w:after="120" w:line="360" w:lineRule="auto"/>
        <w:ind w:firstLine="480"/>
        <w:rPr>
          <w:rFonts w:hint="eastAsia" w:ascii="宋体" w:hAnsi="宋体" w:eastAsia="宋体" w:cs="宋体"/>
        </w:rPr>
      </w:pPr>
      <w:r>
        <w:rPr>
          <w:rFonts w:hint="eastAsia" w:ascii="宋体" w:hAnsi="宋体" w:eastAsia="宋体" w:cs="宋体"/>
          <w:b w:val="0"/>
          <w:sz w:val="24"/>
        </w:rPr>
        <w:t>公司根据供应商信息收集情况绘制供应链地图，并开展CAHRAs识别。参考《负责任矿产供应链政策》《负责任矿产供应链尽责管理控制程序》中的风险定义，公司制定了CAHRAs识别程序，明确所使用的资源、确定"受冲突影响和高风险"地区的标准以及识别频率。</w:t>
      </w:r>
    </w:p>
    <w:p w14:paraId="779E1B63">
      <w:pPr>
        <w:spacing w:after="120" w:line="360" w:lineRule="auto"/>
        <w:ind w:firstLine="420"/>
        <w:rPr>
          <w:rFonts w:hint="eastAsia" w:ascii="宋体" w:hAnsi="宋体" w:eastAsia="宋体" w:cs="宋体"/>
        </w:rPr>
      </w:pPr>
      <w:r>
        <w:rPr>
          <w:rFonts w:hint="eastAsia" w:ascii="宋体" w:hAnsi="宋体" w:eastAsia="宋体" w:cs="宋体"/>
          <w:b w:val="0"/>
          <w:sz w:val="24"/>
        </w:rPr>
        <w:t>公司在国家级层面使用以下资源识别CAHRAs：</w:t>
      </w:r>
    </w:p>
    <w:p w14:paraId="63B5CC75">
      <w:pPr>
        <w:numPr>
          <w:ilvl w:val="0"/>
          <w:numId w:val="2"/>
        </w:numPr>
        <w:spacing w:line="360" w:lineRule="auto"/>
        <w:ind w:left="840" w:hanging="420"/>
        <w:rPr>
          <w:rFonts w:hint="eastAsia" w:ascii="宋体" w:hAnsi="宋体" w:eastAsia="宋体" w:cs="宋体"/>
          <w:lang w:eastAsia="zh-CN"/>
        </w:rPr>
      </w:pPr>
      <w:r>
        <w:rPr>
          <w:rFonts w:hint="eastAsia" w:ascii="宋体" w:hAnsi="宋体" w:eastAsia="宋体" w:cs="宋体"/>
          <w:lang w:eastAsia="zh-CN"/>
        </w:rPr>
        <w:t>监管：多德-弗兰克法案，欧盟CAHRA</w:t>
      </w:r>
      <w:r>
        <w:rPr>
          <w:rFonts w:hint="eastAsia" w:ascii="宋体" w:hAnsi="宋体" w:eastAsia="宋体" w:cs="宋体"/>
          <w:lang w:val="en-US" w:eastAsia="zh-CN"/>
        </w:rPr>
        <w:t>国家级</w:t>
      </w:r>
      <w:r>
        <w:rPr>
          <w:rFonts w:hint="eastAsia" w:ascii="宋体" w:hAnsi="宋体" w:eastAsia="宋体" w:cs="宋体"/>
          <w:lang w:eastAsia="zh-CN"/>
        </w:rPr>
        <w:t>清单；</w:t>
      </w:r>
    </w:p>
    <w:p w14:paraId="7C9D3541">
      <w:pPr>
        <w:numPr>
          <w:ilvl w:val="0"/>
          <w:numId w:val="2"/>
        </w:numPr>
        <w:spacing w:line="360" w:lineRule="auto"/>
        <w:ind w:left="840" w:hanging="420"/>
        <w:rPr>
          <w:rFonts w:hint="eastAsia" w:ascii="宋体" w:hAnsi="宋体" w:eastAsia="宋体" w:cs="宋体"/>
          <w:lang w:eastAsia="zh-CN"/>
        </w:rPr>
      </w:pPr>
      <w:r>
        <w:rPr>
          <w:rFonts w:hint="eastAsia" w:ascii="宋体" w:hAnsi="宋体" w:eastAsia="宋体" w:cs="宋体"/>
          <w:lang w:eastAsia="zh-CN"/>
        </w:rPr>
        <w:t>冲突：海德堡“全球冲突晴雨表”</w:t>
      </w:r>
      <w:r>
        <w:rPr>
          <w:rFonts w:hint="eastAsia" w:ascii="宋体" w:hAnsi="宋体" w:eastAsia="宋体" w:cs="宋体"/>
          <w:lang w:val="en-US" w:eastAsia="zh-CN"/>
        </w:rPr>
        <w:t>国家级</w:t>
      </w:r>
      <w:r>
        <w:rPr>
          <w:rFonts w:hint="eastAsia" w:ascii="宋体" w:hAnsi="宋体" w:eastAsia="宋体" w:cs="宋体"/>
          <w:lang w:eastAsia="zh-CN"/>
        </w:rPr>
        <w:t>；</w:t>
      </w:r>
    </w:p>
    <w:p w14:paraId="690D11C4">
      <w:pPr>
        <w:numPr>
          <w:ilvl w:val="0"/>
          <w:numId w:val="2"/>
        </w:numPr>
        <w:spacing w:line="360" w:lineRule="auto"/>
        <w:ind w:left="840" w:hanging="420"/>
        <w:rPr>
          <w:rFonts w:hint="eastAsia" w:ascii="宋体" w:hAnsi="宋体" w:eastAsia="宋体" w:cs="宋体"/>
          <w:lang w:eastAsia="zh-CN"/>
        </w:rPr>
      </w:pPr>
      <w:r>
        <w:rPr>
          <w:rFonts w:hint="eastAsia" w:ascii="宋体" w:hAnsi="宋体" w:eastAsia="宋体" w:cs="宋体"/>
          <w:lang w:eastAsia="zh-CN"/>
        </w:rPr>
        <w:t>治理：全球清廉指数；</w:t>
      </w:r>
    </w:p>
    <w:p w14:paraId="340BE72E">
      <w:pPr>
        <w:numPr>
          <w:ilvl w:val="0"/>
          <w:numId w:val="2"/>
        </w:numPr>
        <w:spacing w:line="360" w:lineRule="auto"/>
        <w:ind w:left="840" w:hanging="420"/>
        <w:rPr>
          <w:rFonts w:hint="eastAsia" w:ascii="宋体" w:hAnsi="宋体" w:eastAsia="宋体" w:cs="宋体"/>
          <w:lang w:eastAsia="zh-CN"/>
        </w:rPr>
      </w:pPr>
      <w:r>
        <w:rPr>
          <w:rFonts w:hint="eastAsia" w:ascii="宋体" w:hAnsi="宋体" w:eastAsia="宋体" w:cs="宋体"/>
          <w:lang w:eastAsia="zh-CN"/>
        </w:rPr>
        <w:t>人权：联合国人类发展指数；</w:t>
      </w:r>
    </w:p>
    <w:p w14:paraId="17CE861E">
      <w:pPr>
        <w:spacing w:after="120" w:line="360" w:lineRule="auto"/>
        <w:ind w:firstLine="420"/>
        <w:rPr>
          <w:rFonts w:hint="eastAsia" w:ascii="宋体" w:hAnsi="宋体" w:eastAsia="宋体" w:cs="宋体"/>
        </w:rPr>
      </w:pPr>
      <w:r>
        <w:rPr>
          <w:rFonts w:hint="eastAsia" w:ascii="宋体" w:hAnsi="宋体" w:eastAsia="宋体" w:cs="宋体"/>
          <w:b w:val="0"/>
          <w:sz w:val="24"/>
        </w:rPr>
        <w:t>在国家级审查之外，对于位于CAHRAs国家范围内的供应商，公司进一步开展地区级审查，使用以下资源：</w:t>
      </w:r>
    </w:p>
    <w:p w14:paraId="0C64D607">
      <w:pPr>
        <w:numPr>
          <w:ilvl w:val="0"/>
          <w:numId w:val="3"/>
        </w:numPr>
        <w:spacing w:line="360" w:lineRule="auto"/>
        <w:ind w:left="840" w:hanging="420"/>
        <w:rPr>
          <w:rFonts w:hint="eastAsia" w:ascii="宋体" w:hAnsi="宋体" w:eastAsia="宋体" w:cs="宋体"/>
          <w:lang w:val="en-US" w:eastAsia="zh-CN"/>
        </w:rPr>
      </w:pPr>
      <w:r>
        <w:rPr>
          <w:rFonts w:hint="eastAsia" w:ascii="宋体" w:hAnsi="宋体" w:eastAsia="宋体" w:cs="宋体"/>
          <w:lang w:val="en-US" w:eastAsia="zh-CN"/>
        </w:rPr>
        <w:t>冲突：海德堡“全球冲突晴雨表”地区级；</w:t>
      </w:r>
    </w:p>
    <w:p w14:paraId="3D6F64B9">
      <w:pPr>
        <w:numPr>
          <w:ilvl w:val="0"/>
          <w:numId w:val="3"/>
        </w:numPr>
        <w:spacing w:line="360" w:lineRule="auto"/>
        <w:ind w:left="840" w:hanging="420"/>
        <w:rPr>
          <w:rFonts w:hint="eastAsia" w:ascii="宋体" w:hAnsi="宋体" w:eastAsia="宋体" w:cs="宋体"/>
          <w:lang w:val="en-US" w:eastAsia="zh-CN"/>
        </w:rPr>
      </w:pPr>
      <w:r>
        <w:rPr>
          <w:rFonts w:hint="eastAsia" w:ascii="宋体" w:hAnsi="宋体" w:eastAsia="宋体" w:cs="宋体"/>
          <w:lang w:val="en-US" w:eastAsia="zh-CN"/>
        </w:rPr>
        <w:t>治理、冲突、人权三维度可供使用的政府数据、独立媒体报道、非政府组织/公民社会报告/行业和贸易数据、独立研究机构数据；</w:t>
      </w:r>
    </w:p>
    <w:p w14:paraId="6BC4928D">
      <w:pPr>
        <w:spacing w:after="120" w:line="360" w:lineRule="auto"/>
        <w:ind w:firstLine="420"/>
        <w:rPr>
          <w:rFonts w:hint="eastAsia" w:ascii="宋体" w:hAnsi="宋体" w:eastAsia="宋体" w:cs="宋体"/>
        </w:rPr>
      </w:pPr>
      <w:r>
        <w:rPr>
          <w:rFonts w:hint="eastAsia" w:ascii="宋体" w:hAnsi="宋体" w:eastAsia="宋体" w:cs="宋体"/>
          <w:b w:val="0"/>
          <w:sz w:val="24"/>
        </w:rPr>
        <w:t>同时，公司将制裁风险纳入</w:t>
      </w:r>
      <w:r>
        <w:rPr>
          <w:rFonts w:hint="eastAsia" w:ascii="宋体" w:hAnsi="宋体" w:eastAsia="宋体" w:cs="宋体"/>
          <w:b w:val="0"/>
          <w:sz w:val="24"/>
          <w:lang w:val="en-US" w:eastAsia="zh-CN"/>
        </w:rPr>
        <w:t>风险初筛</w:t>
      </w:r>
      <w:r>
        <w:rPr>
          <w:rFonts w:hint="eastAsia" w:ascii="宋体" w:hAnsi="宋体" w:eastAsia="宋体" w:cs="宋体"/>
          <w:b w:val="0"/>
          <w:sz w:val="24"/>
        </w:rPr>
        <w:t>范围，使用以下资源识别制裁风险：</w:t>
      </w:r>
    </w:p>
    <w:p w14:paraId="7E2BF530">
      <w:pPr>
        <w:numPr>
          <w:ilvl w:val="0"/>
          <w:numId w:val="3"/>
        </w:numPr>
        <w:spacing w:line="360" w:lineRule="auto"/>
        <w:ind w:left="840" w:hanging="420"/>
        <w:rPr>
          <w:rFonts w:hint="eastAsia" w:ascii="宋体" w:hAnsi="宋体" w:eastAsia="宋体" w:cs="宋体"/>
          <w:lang w:eastAsia="zh-CN"/>
        </w:rPr>
      </w:pPr>
      <w:r>
        <w:rPr>
          <w:rFonts w:hint="eastAsia" w:ascii="宋体" w:hAnsi="宋体" w:eastAsia="宋体" w:cs="宋体"/>
          <w:lang w:eastAsia="zh-CN"/>
        </w:rPr>
        <w:t>联合国制裁名单</w:t>
      </w:r>
    </w:p>
    <w:p w14:paraId="21E8CBF3">
      <w:pPr>
        <w:numPr>
          <w:ilvl w:val="0"/>
          <w:numId w:val="3"/>
        </w:numPr>
        <w:spacing w:line="360" w:lineRule="auto"/>
        <w:ind w:left="840" w:hanging="420"/>
        <w:rPr>
          <w:rFonts w:hint="eastAsia" w:ascii="宋体" w:hAnsi="宋体" w:eastAsia="宋体" w:cs="宋体"/>
          <w:lang w:eastAsia="zh-CN"/>
        </w:rPr>
      </w:pPr>
      <w:r>
        <w:rPr>
          <w:rFonts w:hint="eastAsia" w:ascii="宋体" w:hAnsi="宋体" w:eastAsia="宋体" w:cs="宋体"/>
          <w:lang w:eastAsia="zh-CN"/>
        </w:rPr>
        <w:t>美国</w:t>
      </w:r>
      <w:r>
        <w:rPr>
          <w:rFonts w:hint="eastAsia" w:ascii="宋体" w:hAnsi="宋体" w:eastAsia="宋体" w:cs="宋体"/>
          <w:lang w:val="en-US" w:eastAsia="zh-CN"/>
        </w:rPr>
        <w:t>OFAC</w:t>
      </w:r>
      <w:r>
        <w:rPr>
          <w:rFonts w:hint="eastAsia" w:ascii="宋体" w:hAnsi="宋体" w:eastAsia="宋体" w:cs="宋体"/>
          <w:lang w:eastAsia="zh-CN"/>
        </w:rPr>
        <w:t>制裁名单</w:t>
      </w:r>
    </w:p>
    <w:p w14:paraId="17AF0C98">
      <w:pPr>
        <w:numPr>
          <w:ilvl w:val="0"/>
          <w:numId w:val="3"/>
        </w:numPr>
        <w:spacing w:line="360" w:lineRule="auto"/>
        <w:ind w:left="840" w:hanging="420"/>
        <w:rPr>
          <w:rFonts w:hint="eastAsia" w:ascii="宋体" w:hAnsi="宋体" w:eastAsia="宋体" w:cs="宋体"/>
          <w:lang w:eastAsia="zh-CN"/>
        </w:rPr>
      </w:pPr>
      <w:r>
        <w:rPr>
          <w:rFonts w:hint="eastAsia" w:ascii="宋体" w:hAnsi="宋体" w:eastAsia="宋体" w:cs="宋体"/>
          <w:lang w:eastAsia="zh-CN"/>
        </w:rPr>
        <w:t>欧盟制裁名单</w:t>
      </w:r>
    </w:p>
    <w:p w14:paraId="793D1579">
      <w:pPr>
        <w:numPr>
          <w:ilvl w:val="0"/>
          <w:numId w:val="3"/>
        </w:numPr>
        <w:spacing w:line="360" w:lineRule="auto"/>
        <w:ind w:left="840" w:hanging="420"/>
        <w:rPr>
          <w:rFonts w:hint="eastAsia" w:ascii="宋体" w:hAnsi="宋体" w:eastAsia="宋体" w:cs="宋体"/>
          <w:lang w:eastAsia="zh-CN"/>
        </w:rPr>
      </w:pPr>
      <w:r>
        <w:rPr>
          <w:rFonts w:hint="eastAsia" w:ascii="宋体" w:hAnsi="宋体" w:eastAsia="宋体" w:cs="宋体"/>
          <w:lang w:eastAsia="zh-CN"/>
        </w:rPr>
        <w:t>中国制裁名单</w:t>
      </w:r>
    </w:p>
    <w:p w14:paraId="18A74E6E">
      <w:pPr>
        <w:numPr>
          <w:ilvl w:val="0"/>
          <w:numId w:val="3"/>
        </w:numPr>
        <w:spacing w:line="360" w:lineRule="auto"/>
        <w:ind w:left="840" w:hanging="420"/>
        <w:rPr>
          <w:rFonts w:hint="eastAsia" w:ascii="宋体" w:hAnsi="宋体" w:eastAsia="宋体" w:cs="宋体"/>
          <w:lang w:eastAsia="zh-CN"/>
        </w:rPr>
      </w:pPr>
      <w:r>
        <w:rPr>
          <w:rFonts w:hint="eastAsia" w:ascii="宋体" w:hAnsi="宋体" w:eastAsia="宋体" w:cs="宋体"/>
          <w:lang w:eastAsia="zh-CN"/>
        </w:rPr>
        <w:t>参考资源自身所在国家/地区制裁名单</w:t>
      </w:r>
    </w:p>
    <w:p w14:paraId="2A0B62E7">
      <w:pPr>
        <w:spacing w:line="360" w:lineRule="auto"/>
        <w:ind w:firstLine="420"/>
        <w:rPr>
          <w:rFonts w:hint="eastAsia" w:ascii="宋体" w:hAnsi="宋体" w:eastAsia="宋体" w:cs="宋体"/>
          <w:lang w:eastAsia="zh-CN"/>
        </w:rPr>
      </w:pPr>
      <w:r>
        <w:rPr>
          <w:rFonts w:hint="eastAsia" w:ascii="宋体" w:hAnsi="宋体" w:eastAsia="宋体" w:cs="宋体"/>
          <w:lang w:val="en-US" w:eastAsia="zh-CN"/>
        </w:rPr>
        <w:t>如发现位于制裁名单内的供应商，将</w:t>
      </w:r>
      <w:r>
        <w:rPr>
          <w:rFonts w:hint="eastAsia" w:ascii="宋体" w:hAnsi="宋体" w:eastAsia="宋体" w:cs="宋体"/>
          <w:lang w:eastAsia="zh-CN"/>
        </w:rPr>
        <w:t>立即停止与受制裁方的一切业务。</w:t>
      </w:r>
    </w:p>
    <w:p w14:paraId="5BD8D087">
      <w:pPr>
        <w:numPr>
          <w:ilvl w:val="-1"/>
          <w:numId w:val="0"/>
        </w:numPr>
        <w:spacing w:line="360" w:lineRule="auto"/>
        <w:ind w:firstLine="0"/>
        <w:rPr>
          <w:rFonts w:hint="eastAsia" w:ascii="宋体" w:hAnsi="宋体" w:eastAsia="宋体" w:cs="宋体"/>
          <w:lang w:eastAsia="zh-CN"/>
        </w:rPr>
      </w:pPr>
    </w:p>
    <w:p w14:paraId="1C052A79">
      <w:pPr>
        <w:pStyle w:val="3"/>
        <w:spacing w:line="360" w:lineRule="auto"/>
        <w:rPr>
          <w:rFonts w:hint="eastAsia" w:ascii="宋体" w:hAnsi="宋体" w:eastAsia="宋体" w:cs="宋体"/>
          <w:lang w:eastAsia="zh-CN"/>
        </w:rPr>
      </w:pPr>
      <w:bookmarkStart w:id="47" w:name="_Toc7518"/>
      <w:bookmarkStart w:id="48" w:name="_Toc2433"/>
      <w:bookmarkStart w:id="49" w:name="_Toc211098174"/>
      <w:bookmarkStart w:id="50" w:name="_Toc26865"/>
      <w:r>
        <w:rPr>
          <w:rFonts w:hint="eastAsia" w:ascii="宋体" w:hAnsi="宋体" w:eastAsia="宋体" w:cs="宋体"/>
          <w:lang w:val="en-US" w:eastAsia="zh-CN"/>
        </w:rPr>
        <w:t>5</w:t>
      </w:r>
      <w:r>
        <w:rPr>
          <w:rFonts w:hint="eastAsia" w:ascii="宋体" w:hAnsi="宋体" w:eastAsia="宋体" w:cs="宋体"/>
          <w:lang w:eastAsia="zh-CN"/>
        </w:rPr>
        <w:t>.</w:t>
      </w:r>
      <w:r>
        <w:rPr>
          <w:rFonts w:hint="eastAsia" w:ascii="宋体" w:hAnsi="宋体" w:eastAsia="宋体" w:cs="宋体"/>
          <w:lang w:val="en-US" w:eastAsia="zh-CN"/>
        </w:rPr>
        <w:t>3</w:t>
      </w:r>
      <w:r>
        <w:rPr>
          <w:rFonts w:hint="eastAsia" w:ascii="宋体" w:hAnsi="宋体" w:eastAsia="宋体" w:cs="宋体"/>
          <w:lang w:eastAsia="zh-CN"/>
        </w:rPr>
        <w:t xml:space="preserve"> </w:t>
      </w:r>
      <w:r>
        <w:rPr>
          <w:rFonts w:hint="eastAsia" w:ascii="宋体" w:hAnsi="宋体" w:eastAsia="宋体" w:cs="宋体"/>
          <w:lang w:val="en-US" w:eastAsia="zh-CN"/>
        </w:rPr>
        <w:t>警示信号审查</w:t>
      </w:r>
      <w:bookmarkEnd w:id="47"/>
      <w:bookmarkEnd w:id="48"/>
      <w:bookmarkEnd w:id="49"/>
      <w:bookmarkEnd w:id="50"/>
    </w:p>
    <w:p w14:paraId="6B02A750">
      <w:pPr>
        <w:spacing w:line="360" w:lineRule="auto"/>
        <w:ind w:firstLine="420"/>
        <w:rPr>
          <w:rFonts w:hint="eastAsia" w:ascii="宋体" w:hAnsi="宋体" w:eastAsia="宋体" w:cs="宋体"/>
          <w:lang w:eastAsia="zh-CN"/>
        </w:rPr>
      </w:pPr>
      <w:r>
        <w:rPr>
          <w:rFonts w:hint="eastAsia" w:ascii="宋体" w:hAnsi="宋体" w:eastAsia="宋体" w:cs="宋体"/>
          <w:lang w:eastAsia="zh-CN"/>
        </w:rPr>
        <w:t>公司</w:t>
      </w:r>
      <w:r>
        <w:rPr>
          <w:rFonts w:hint="eastAsia" w:ascii="宋体" w:hAnsi="宋体" w:eastAsia="宋体" w:cs="宋体"/>
          <w:lang w:val="en-US" w:eastAsia="zh-CN"/>
        </w:rPr>
        <w:t>根据供应商信息和CAHRAs识别结果进行警示信号审查，警示信号触发类别如下</w:t>
      </w:r>
      <w:r>
        <w:rPr>
          <w:rFonts w:hint="eastAsia" w:ascii="宋体" w:hAnsi="宋体" w:eastAsia="宋体" w:cs="宋体"/>
          <w:lang w:eastAsia="zh-CN"/>
        </w:rPr>
        <w:t>：</w:t>
      </w:r>
    </w:p>
    <w:tbl>
      <w:tblPr>
        <w:tblStyle w:val="15"/>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8"/>
        <w:gridCol w:w="6458"/>
      </w:tblGrid>
      <w:tr w14:paraId="53C19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8" w:type="dxa"/>
            <w:tcBorders>
              <w:top w:val="single" w:color="auto" w:sz="4" w:space="0"/>
              <w:left w:val="single" w:color="auto" w:sz="4" w:space="0"/>
              <w:bottom w:val="single" w:color="auto" w:sz="4" w:space="0"/>
              <w:right w:val="single" w:color="auto" w:sz="4" w:space="0"/>
            </w:tcBorders>
          </w:tcPr>
          <w:p w14:paraId="27A5E0A8">
            <w:pPr>
              <w:widowControl w:val="0"/>
              <w:spacing w:beforeAutospacing="1" w:afterAutospacing="1" w:line="360" w:lineRule="auto"/>
              <w:rPr>
                <w:rFonts w:hint="eastAsia" w:ascii="宋体" w:hAnsi="宋体" w:eastAsia="宋体" w:cs="宋体"/>
                <w:kern w:val="2"/>
                <w:szCs w:val="20"/>
                <w:lang w:eastAsia="zh-CN" w:bidi="ar"/>
              </w:rPr>
            </w:pPr>
            <w:r>
              <w:rPr>
                <w:rFonts w:hint="eastAsia" w:ascii="宋体" w:hAnsi="宋体" w:eastAsia="宋体" w:cs="宋体"/>
                <w:kern w:val="2"/>
                <w:szCs w:val="20"/>
                <w:lang w:eastAsia="zh-CN" w:bidi="ar"/>
              </w:rPr>
              <w:t>警示信号种类</w:t>
            </w:r>
          </w:p>
        </w:tc>
        <w:tc>
          <w:tcPr>
            <w:tcW w:w="6458" w:type="dxa"/>
            <w:tcBorders>
              <w:top w:val="single" w:color="auto" w:sz="4" w:space="0"/>
              <w:left w:val="single" w:color="auto" w:sz="4" w:space="0"/>
              <w:bottom w:val="single" w:color="auto" w:sz="4" w:space="0"/>
              <w:right w:val="single" w:color="auto" w:sz="4" w:space="0"/>
            </w:tcBorders>
          </w:tcPr>
          <w:p w14:paraId="21A861ED">
            <w:pPr>
              <w:widowControl w:val="0"/>
              <w:spacing w:beforeAutospacing="1" w:afterAutospacing="1" w:line="360" w:lineRule="auto"/>
              <w:rPr>
                <w:rFonts w:hint="eastAsia" w:ascii="宋体" w:hAnsi="宋体" w:eastAsia="宋体" w:cs="宋体"/>
                <w:kern w:val="2"/>
                <w:szCs w:val="20"/>
                <w:lang w:eastAsia="zh-CN" w:bidi="ar"/>
              </w:rPr>
            </w:pPr>
            <w:r>
              <w:rPr>
                <w:rFonts w:hint="eastAsia" w:ascii="宋体" w:hAnsi="宋体" w:eastAsia="宋体" w:cs="宋体"/>
                <w:kern w:val="2"/>
                <w:szCs w:val="20"/>
                <w:lang w:eastAsia="zh-CN" w:bidi="ar"/>
              </w:rPr>
              <w:t>警示内容描述</w:t>
            </w:r>
          </w:p>
        </w:tc>
      </w:tr>
      <w:tr w14:paraId="5A1C7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8" w:type="dxa"/>
            <w:tcBorders>
              <w:top w:val="single" w:color="auto" w:sz="4" w:space="0"/>
              <w:left w:val="single" w:color="auto" w:sz="4" w:space="0"/>
              <w:bottom w:val="single" w:color="auto" w:sz="4" w:space="0"/>
              <w:right w:val="single" w:color="auto" w:sz="4" w:space="0"/>
            </w:tcBorders>
          </w:tcPr>
          <w:p w14:paraId="4439A82E">
            <w:pPr>
              <w:widowControl w:val="0"/>
              <w:spacing w:beforeAutospacing="1" w:afterAutospacing="1" w:line="360" w:lineRule="auto"/>
              <w:rPr>
                <w:rFonts w:hint="eastAsia" w:ascii="宋体" w:hAnsi="宋体" w:eastAsia="宋体" w:cs="宋体"/>
                <w:kern w:val="2"/>
                <w:szCs w:val="20"/>
                <w:lang w:eastAsia="zh-CN" w:bidi="ar"/>
              </w:rPr>
            </w:pPr>
            <w:r>
              <w:rPr>
                <w:rFonts w:hint="eastAsia" w:ascii="宋体" w:hAnsi="宋体" w:eastAsia="宋体" w:cs="宋体"/>
                <w:kern w:val="2"/>
                <w:lang w:eastAsia="zh-CN" w:bidi="ar"/>
              </w:rPr>
              <w:t>矿产来源地和运输路线警示信号</w:t>
            </w:r>
          </w:p>
        </w:tc>
        <w:tc>
          <w:tcPr>
            <w:tcW w:w="6458" w:type="dxa"/>
            <w:tcBorders>
              <w:top w:val="single" w:color="auto" w:sz="4" w:space="0"/>
              <w:left w:val="single" w:color="auto" w:sz="4" w:space="0"/>
              <w:bottom w:val="single" w:color="auto" w:sz="4" w:space="0"/>
              <w:right w:val="single" w:color="auto" w:sz="4" w:space="0"/>
            </w:tcBorders>
          </w:tcPr>
          <w:p w14:paraId="4B2C615D">
            <w:pPr>
              <w:widowControl w:val="0"/>
              <w:spacing w:beforeAutospacing="0" w:afterAutospacing="0" w:line="360" w:lineRule="auto"/>
              <w:rPr>
                <w:rFonts w:hint="eastAsia" w:ascii="宋体" w:hAnsi="宋体" w:eastAsia="宋体" w:cs="宋体"/>
                <w:lang w:eastAsia="zh-CN"/>
              </w:rPr>
            </w:pPr>
            <w:bookmarkStart w:id="51" w:name="OLE_LINK20"/>
            <w:bookmarkStart w:id="52" w:name="OLE_LINK21"/>
            <w:bookmarkStart w:id="53" w:name="OLE_LINK22"/>
            <w:r>
              <w:rPr>
                <w:rFonts w:hint="eastAsia" w:ascii="宋体" w:hAnsi="宋体" w:eastAsia="宋体" w:cs="宋体"/>
                <w:kern w:val="2"/>
                <w:lang w:eastAsia="zh-CN" w:bidi="ar"/>
              </w:rPr>
              <w:t>a.矿产来自于“受冲突影响和高风险区域”（CAHRAs）；</w:t>
            </w:r>
          </w:p>
          <w:p w14:paraId="009FFDC9">
            <w:pPr>
              <w:widowControl w:val="0"/>
              <w:spacing w:beforeAutospacing="0" w:afterAutospacing="0" w:line="360" w:lineRule="auto"/>
              <w:rPr>
                <w:rFonts w:hint="eastAsia" w:ascii="宋体" w:hAnsi="宋体" w:eastAsia="宋体" w:cs="宋体"/>
                <w:lang w:eastAsia="zh-CN"/>
              </w:rPr>
            </w:pPr>
            <w:r>
              <w:rPr>
                <w:rFonts w:hint="eastAsia" w:ascii="宋体" w:hAnsi="宋体" w:eastAsia="宋体" w:cs="宋体"/>
                <w:kern w:val="2"/>
                <w:lang w:eastAsia="zh-CN" w:bidi="ar"/>
              </w:rPr>
              <w:t>b.矿产运输路线经过“受冲突影响和高风险区域”；</w:t>
            </w:r>
          </w:p>
          <w:p w14:paraId="14D7C90F">
            <w:pPr>
              <w:widowControl w:val="0"/>
              <w:spacing w:beforeAutospacing="0" w:afterAutospacing="0" w:line="360" w:lineRule="auto"/>
              <w:rPr>
                <w:rFonts w:hint="eastAsia" w:ascii="宋体" w:hAnsi="宋体" w:eastAsia="宋体" w:cs="宋体"/>
                <w:lang w:eastAsia="zh-CN"/>
              </w:rPr>
            </w:pPr>
            <w:r>
              <w:rPr>
                <w:rFonts w:hint="eastAsia" w:ascii="宋体" w:hAnsi="宋体" w:eastAsia="宋体" w:cs="宋体"/>
                <w:kern w:val="2"/>
                <w:lang w:eastAsia="zh-CN" w:bidi="ar"/>
              </w:rPr>
              <w:t>c.矿产原产国为已知储存、预估储量或预期生产水平有限的国家（即宣称的来自该国的矿产的产量与其已知储量或预期生产水平不符）；</w:t>
            </w:r>
          </w:p>
          <w:p w14:paraId="35491167">
            <w:pPr>
              <w:widowControl w:val="0"/>
              <w:spacing w:beforeAutospacing="0" w:afterAutospacing="0" w:line="360" w:lineRule="auto"/>
              <w:rPr>
                <w:rFonts w:hint="eastAsia" w:ascii="宋体" w:hAnsi="宋体" w:eastAsia="宋体" w:cs="宋体"/>
                <w:lang w:eastAsia="zh-CN"/>
              </w:rPr>
            </w:pPr>
            <w:r>
              <w:rPr>
                <w:rFonts w:hint="eastAsia" w:ascii="宋体" w:hAnsi="宋体" w:eastAsia="宋体" w:cs="宋体"/>
                <w:kern w:val="2"/>
                <w:lang w:eastAsia="zh-CN" w:bidi="ar"/>
              </w:rPr>
              <w:t>e.所谓的矿产原产国实际上只是原产于“受冲突影响和高风险区域”矿产的中转国；</w:t>
            </w:r>
          </w:p>
          <w:p w14:paraId="72F5C892">
            <w:pPr>
              <w:widowControl w:val="0"/>
              <w:spacing w:beforeAutospacing="1" w:afterAutospacing="1" w:line="360" w:lineRule="auto"/>
              <w:rPr>
                <w:rFonts w:hint="eastAsia" w:ascii="宋体" w:hAnsi="宋体" w:eastAsia="宋体" w:cs="宋体"/>
                <w:kern w:val="2"/>
                <w:szCs w:val="20"/>
                <w:lang w:eastAsia="zh-CN" w:bidi="ar"/>
              </w:rPr>
            </w:pPr>
            <w:r>
              <w:rPr>
                <w:rFonts w:hint="eastAsia" w:ascii="宋体" w:hAnsi="宋体" w:eastAsia="宋体" w:cs="宋体"/>
                <w:kern w:val="2"/>
                <w:lang w:eastAsia="zh-CN" w:bidi="ar"/>
              </w:rPr>
              <w:t>f.矿产来自多个回收渠道，且在“受冲突影响或高风险区域”进行加工。</w:t>
            </w:r>
            <w:bookmarkEnd w:id="51"/>
            <w:bookmarkEnd w:id="52"/>
            <w:bookmarkEnd w:id="53"/>
          </w:p>
        </w:tc>
      </w:tr>
      <w:tr w14:paraId="4F3B4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8" w:type="dxa"/>
            <w:tcBorders>
              <w:top w:val="single" w:color="auto" w:sz="4" w:space="0"/>
              <w:left w:val="single" w:color="auto" w:sz="4" w:space="0"/>
              <w:bottom w:val="single" w:color="auto" w:sz="4" w:space="0"/>
              <w:right w:val="single" w:color="auto" w:sz="4" w:space="0"/>
            </w:tcBorders>
          </w:tcPr>
          <w:p w14:paraId="1203B5B5">
            <w:pPr>
              <w:widowControl w:val="0"/>
              <w:spacing w:beforeAutospacing="1" w:afterAutospacing="1" w:line="360" w:lineRule="auto"/>
              <w:rPr>
                <w:rFonts w:hint="eastAsia" w:ascii="宋体" w:hAnsi="宋体" w:eastAsia="宋体" w:cs="宋体"/>
                <w:kern w:val="2"/>
                <w:szCs w:val="20"/>
                <w:lang w:eastAsia="zh-CN" w:bidi="ar"/>
              </w:rPr>
            </w:pPr>
            <w:bookmarkStart w:id="54" w:name="OLE_LINK19"/>
            <w:r>
              <w:rPr>
                <w:rFonts w:hint="eastAsia" w:ascii="宋体" w:hAnsi="宋体" w:eastAsia="宋体" w:cs="宋体"/>
                <w:kern w:val="2"/>
                <w:lang w:bidi="ar"/>
              </w:rPr>
              <w:t>供应商警示信号</w:t>
            </w:r>
            <w:bookmarkEnd w:id="54"/>
          </w:p>
        </w:tc>
        <w:tc>
          <w:tcPr>
            <w:tcW w:w="6458" w:type="dxa"/>
            <w:tcBorders>
              <w:top w:val="single" w:color="auto" w:sz="4" w:space="0"/>
              <w:left w:val="single" w:color="auto" w:sz="4" w:space="0"/>
              <w:bottom w:val="single" w:color="auto" w:sz="4" w:space="0"/>
              <w:right w:val="single" w:color="auto" w:sz="4" w:space="0"/>
            </w:tcBorders>
          </w:tcPr>
          <w:p w14:paraId="57353E6C">
            <w:pPr>
              <w:widowControl w:val="0"/>
              <w:spacing w:beforeAutospacing="0" w:afterAutospacing="0" w:line="360" w:lineRule="auto"/>
              <w:rPr>
                <w:rFonts w:hint="eastAsia" w:ascii="宋体" w:hAnsi="宋体" w:eastAsia="宋体" w:cs="宋体"/>
                <w:lang w:eastAsia="zh-CN"/>
              </w:rPr>
            </w:pPr>
            <w:r>
              <w:rPr>
                <w:rFonts w:hint="eastAsia" w:ascii="宋体" w:hAnsi="宋体" w:eastAsia="宋体" w:cs="宋体"/>
                <w:kern w:val="2"/>
                <w:lang w:eastAsia="zh-CN" w:bidi="ar"/>
              </w:rPr>
              <w:t>a.供应商或其他上游企业在出现上述警示信号的地区开展经营活动，或是上述地区供应商的股东，或与之存在利益关系；</w:t>
            </w:r>
          </w:p>
          <w:p w14:paraId="335E99B3">
            <w:pPr>
              <w:widowControl w:val="0"/>
              <w:spacing w:beforeAutospacing="1" w:afterAutospacing="1" w:line="360" w:lineRule="auto"/>
              <w:rPr>
                <w:rFonts w:hint="eastAsia" w:ascii="宋体" w:hAnsi="宋体" w:eastAsia="宋体" w:cs="宋体"/>
                <w:kern w:val="2"/>
                <w:szCs w:val="20"/>
                <w:lang w:eastAsia="zh-CN" w:bidi="ar"/>
              </w:rPr>
            </w:pPr>
            <w:r>
              <w:rPr>
                <w:rFonts w:hint="eastAsia" w:ascii="宋体" w:hAnsi="宋体" w:eastAsia="宋体" w:cs="宋体"/>
                <w:kern w:val="2"/>
                <w:lang w:eastAsia="zh-CN" w:bidi="ar"/>
              </w:rPr>
              <w:t>b.获知供应商或其他上游企业在过去十二个月内曾经从风险警示矿源地和中转地采购过矿产。</w:t>
            </w:r>
          </w:p>
        </w:tc>
      </w:tr>
      <w:tr w14:paraId="101F3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8" w:type="dxa"/>
            <w:tcBorders>
              <w:top w:val="single" w:color="auto" w:sz="4" w:space="0"/>
              <w:left w:val="single" w:color="auto" w:sz="4" w:space="0"/>
              <w:bottom w:val="single" w:color="auto" w:sz="4" w:space="0"/>
              <w:right w:val="single" w:color="auto" w:sz="4" w:space="0"/>
            </w:tcBorders>
          </w:tcPr>
          <w:p w14:paraId="5FD98905">
            <w:pPr>
              <w:widowControl w:val="0"/>
              <w:spacing w:beforeAutospacing="0" w:afterAutospacing="0" w:line="360" w:lineRule="auto"/>
              <w:rPr>
                <w:rFonts w:hint="eastAsia" w:ascii="宋体" w:hAnsi="宋体" w:eastAsia="宋体" w:cs="宋体"/>
                <w:lang w:eastAsia="zh-CN"/>
              </w:rPr>
            </w:pPr>
            <w:r>
              <w:rPr>
                <w:rFonts w:hint="eastAsia" w:ascii="宋体" w:hAnsi="宋体" w:eastAsia="宋体" w:cs="宋体"/>
                <w:kern w:val="2"/>
                <w:lang w:eastAsia="zh-CN" w:bidi="ar"/>
              </w:rPr>
              <w:t>特定情况下的警示信号</w:t>
            </w:r>
          </w:p>
        </w:tc>
        <w:tc>
          <w:tcPr>
            <w:tcW w:w="6458" w:type="dxa"/>
            <w:tcBorders>
              <w:top w:val="single" w:color="auto" w:sz="4" w:space="0"/>
              <w:left w:val="single" w:color="auto" w:sz="4" w:space="0"/>
              <w:bottom w:val="single" w:color="auto" w:sz="4" w:space="0"/>
              <w:right w:val="single" w:color="auto" w:sz="4" w:space="0"/>
            </w:tcBorders>
          </w:tcPr>
          <w:p w14:paraId="0082ACA8">
            <w:pPr>
              <w:widowControl w:val="0"/>
              <w:spacing w:beforeAutospacing="0" w:afterAutospacing="0" w:line="360" w:lineRule="auto"/>
              <w:rPr>
                <w:rFonts w:hint="eastAsia" w:ascii="宋体" w:hAnsi="宋体" w:eastAsia="宋体" w:cs="宋体"/>
                <w:lang w:eastAsia="zh-CN"/>
              </w:rPr>
            </w:pPr>
            <w:bookmarkStart w:id="55" w:name="OLE_LINK24"/>
            <w:bookmarkStart w:id="56" w:name="OLE_LINK23"/>
            <w:r>
              <w:rPr>
                <w:rFonts w:hint="eastAsia" w:ascii="宋体" w:hAnsi="宋体" w:eastAsia="宋体" w:cs="宋体"/>
                <w:kern w:val="2"/>
                <w:lang w:eastAsia="zh-CN" w:bidi="ar"/>
              </w:rPr>
              <w:t>a.收集信息识别异常情况，判断与矿产有关的活动是否有可能助长冲突或者其他侵犯权利的行为；</w:t>
            </w:r>
          </w:p>
          <w:p w14:paraId="32555EB6">
            <w:pPr>
              <w:widowControl w:val="0"/>
              <w:spacing w:beforeAutospacing="0" w:afterAutospacing="0" w:line="360" w:lineRule="auto"/>
              <w:rPr>
                <w:rFonts w:hint="eastAsia" w:ascii="宋体" w:hAnsi="宋体" w:eastAsia="宋体" w:cs="宋体"/>
                <w:lang w:eastAsia="zh-CN"/>
              </w:rPr>
            </w:pPr>
            <w:r>
              <w:rPr>
                <w:rFonts w:hint="eastAsia" w:ascii="宋体" w:hAnsi="宋体" w:eastAsia="宋体" w:cs="宋体"/>
                <w:kern w:val="2"/>
                <w:lang w:eastAsia="zh-CN" w:bidi="ar"/>
              </w:rPr>
              <w:t>b.无法判定矿产原产国和中转国的情况。</w:t>
            </w:r>
            <w:bookmarkEnd w:id="55"/>
            <w:bookmarkEnd w:id="56"/>
          </w:p>
        </w:tc>
      </w:tr>
    </w:tbl>
    <w:p w14:paraId="35365536">
      <w:pPr>
        <w:spacing w:line="360" w:lineRule="auto"/>
        <w:ind w:firstLine="420"/>
        <w:rPr>
          <w:rFonts w:hint="eastAsia" w:ascii="宋体" w:hAnsi="宋体" w:eastAsia="宋体" w:cs="宋体"/>
          <w:lang w:eastAsia="zh-CN"/>
        </w:rPr>
      </w:pPr>
      <w:bookmarkStart w:id="57" w:name="_Toc211098175"/>
      <w:r>
        <w:rPr>
          <w:rFonts w:hint="eastAsia" w:ascii="宋体" w:hAnsi="宋体" w:eastAsia="宋体" w:cs="宋体"/>
          <w:lang w:eastAsia="zh-CN"/>
        </w:rPr>
        <w:t>对于</w:t>
      </w:r>
      <w:r>
        <w:rPr>
          <w:rFonts w:hint="eastAsia" w:ascii="宋体" w:hAnsi="宋体" w:eastAsia="宋体" w:cs="宋体"/>
          <w:lang w:val="en-US" w:eastAsia="zh-CN"/>
        </w:rPr>
        <w:t>识别到警示信号</w:t>
      </w:r>
      <w:r>
        <w:rPr>
          <w:rFonts w:hint="eastAsia" w:ascii="宋体" w:hAnsi="宋体" w:eastAsia="宋体" w:cs="宋体"/>
          <w:lang w:eastAsia="zh-CN"/>
        </w:rPr>
        <w:t>的</w:t>
      </w:r>
      <w:r>
        <w:rPr>
          <w:rFonts w:hint="eastAsia" w:ascii="宋体" w:hAnsi="宋体" w:eastAsia="宋体" w:cs="宋体"/>
          <w:lang w:val="en-US" w:eastAsia="zh-CN"/>
        </w:rPr>
        <w:t>供应商</w:t>
      </w:r>
      <w:r>
        <w:rPr>
          <w:rFonts w:hint="eastAsia" w:ascii="宋体" w:hAnsi="宋体" w:eastAsia="宋体" w:cs="宋体"/>
          <w:lang w:eastAsia="zh-CN"/>
        </w:rPr>
        <w:t>，公司会开展增强型尽职调查。这包括：</w:t>
      </w:r>
    </w:p>
    <w:p w14:paraId="55D81CEE">
      <w:pPr>
        <w:spacing w:line="360" w:lineRule="auto"/>
        <w:ind w:firstLine="420"/>
        <w:rPr>
          <w:rFonts w:hint="eastAsia" w:ascii="宋体" w:hAnsi="宋体" w:eastAsia="宋体" w:cs="宋体"/>
          <w:lang w:eastAsia="zh-CN"/>
        </w:rPr>
      </w:pPr>
      <w:r>
        <w:rPr>
          <w:rFonts w:hint="eastAsia" w:ascii="宋体" w:hAnsi="宋体" w:eastAsia="宋体" w:cs="宋体"/>
          <w:lang w:eastAsia="zh-CN"/>
        </w:rPr>
        <w:t>（1）评估CAHRAs的背景；</w:t>
      </w:r>
    </w:p>
    <w:p w14:paraId="1747268E">
      <w:pPr>
        <w:spacing w:line="360" w:lineRule="auto"/>
        <w:ind w:firstLine="420"/>
        <w:rPr>
          <w:rFonts w:hint="eastAsia" w:ascii="宋体" w:hAnsi="宋体" w:eastAsia="宋体" w:cs="宋体"/>
          <w:lang w:eastAsia="zh-CN"/>
        </w:rPr>
      </w:pPr>
      <w:r>
        <w:rPr>
          <w:rFonts w:hint="eastAsia" w:ascii="宋体" w:hAnsi="宋体" w:eastAsia="宋体" w:cs="宋体"/>
          <w:lang w:eastAsia="zh-CN"/>
        </w:rPr>
        <w:t>（2）阐明监管链;</w:t>
      </w:r>
    </w:p>
    <w:p w14:paraId="0A55C0B6">
      <w:pPr>
        <w:spacing w:line="360" w:lineRule="auto"/>
        <w:ind w:firstLine="420"/>
        <w:rPr>
          <w:rFonts w:hint="eastAsia" w:ascii="宋体" w:hAnsi="宋体" w:eastAsia="宋体" w:cs="宋体"/>
          <w:lang w:eastAsia="zh-CN"/>
        </w:rPr>
      </w:pPr>
      <w:r>
        <w:rPr>
          <w:rFonts w:hint="eastAsia" w:ascii="宋体" w:hAnsi="宋体" w:eastAsia="宋体" w:cs="宋体"/>
          <w:lang w:eastAsia="zh-CN"/>
        </w:rPr>
        <w:t>（3）评估上游供应商的活动和关系；</w:t>
      </w:r>
    </w:p>
    <w:p w14:paraId="736BB23A">
      <w:pPr>
        <w:spacing w:line="360" w:lineRule="auto"/>
        <w:ind w:firstLine="420"/>
        <w:rPr>
          <w:rFonts w:hint="eastAsia" w:ascii="宋体" w:hAnsi="宋体" w:eastAsia="宋体" w:cs="宋体"/>
          <w:lang w:eastAsia="zh-CN"/>
        </w:rPr>
      </w:pPr>
      <w:r>
        <w:rPr>
          <w:rFonts w:hint="eastAsia" w:ascii="宋体" w:hAnsi="宋体" w:eastAsia="宋体" w:cs="宋体"/>
          <w:lang w:eastAsia="zh-CN"/>
        </w:rPr>
        <w:t>（4）识别矿石的开采、贸易、处理和出口的地点和定量条件；</w:t>
      </w:r>
    </w:p>
    <w:p w14:paraId="48A65B89">
      <w:pPr>
        <w:spacing w:line="360" w:lineRule="auto"/>
        <w:ind w:firstLine="420"/>
        <w:rPr>
          <w:rFonts w:hint="eastAsia" w:ascii="宋体" w:hAnsi="宋体" w:eastAsia="宋体" w:cs="宋体"/>
          <w:b w:val="0"/>
          <w:sz w:val="24"/>
        </w:rPr>
      </w:pPr>
      <w:r>
        <w:rPr>
          <w:rFonts w:hint="eastAsia" w:ascii="宋体" w:hAnsi="宋体" w:eastAsia="宋体" w:cs="宋体"/>
          <w:lang w:eastAsia="zh-CN"/>
        </w:rPr>
        <w:t>（5）进行实地风险评估：</w:t>
      </w:r>
      <w:r>
        <w:rPr>
          <w:rFonts w:hint="eastAsia" w:ascii="宋体" w:hAnsi="宋体" w:eastAsia="宋体" w:cs="宋体"/>
          <w:b w:val="0"/>
          <w:sz w:val="24"/>
        </w:rPr>
        <w:t>公司制定了实地评估相关程序文件和矿产供应链尽责管理实地评估问卷。对于触发警示信号的供应商，公司会在征得供应商同意后，成立专业实地评估团队，采用循证方法适时开展实地评估，或要求其参与第三方独立评估。</w:t>
      </w:r>
    </w:p>
    <w:p w14:paraId="6AE44EAE">
      <w:pPr>
        <w:spacing w:line="360" w:lineRule="auto"/>
        <w:ind w:firstLine="420"/>
        <w:rPr>
          <w:rFonts w:hint="eastAsia" w:ascii="宋体" w:hAnsi="宋体" w:eastAsia="宋体" w:cs="宋体"/>
          <w:b w:val="0"/>
          <w:sz w:val="24"/>
          <w:lang w:eastAsia="zh-CN"/>
        </w:rPr>
      </w:pPr>
    </w:p>
    <w:p w14:paraId="5A63EDF5">
      <w:pPr>
        <w:pStyle w:val="3"/>
        <w:spacing w:line="360" w:lineRule="auto"/>
        <w:rPr>
          <w:rFonts w:hint="eastAsia" w:ascii="宋体" w:hAnsi="宋体" w:eastAsia="宋体" w:cs="宋体"/>
          <w:lang w:eastAsia="zh-CN"/>
        </w:rPr>
      </w:pPr>
      <w:bookmarkStart w:id="58" w:name="_Toc1218"/>
      <w:bookmarkStart w:id="59" w:name="_Toc14078"/>
      <w:bookmarkStart w:id="60" w:name="_Toc24044"/>
      <w:r>
        <w:rPr>
          <w:rFonts w:hint="eastAsia" w:ascii="宋体" w:hAnsi="宋体" w:eastAsia="宋体" w:cs="宋体"/>
          <w:lang w:val="en-US" w:eastAsia="zh-CN"/>
        </w:rPr>
        <w:t>5</w:t>
      </w:r>
      <w:r>
        <w:rPr>
          <w:rFonts w:hint="eastAsia" w:ascii="宋体" w:hAnsi="宋体" w:eastAsia="宋体" w:cs="宋体"/>
          <w:lang w:eastAsia="zh-CN"/>
        </w:rPr>
        <w:t>.</w:t>
      </w:r>
      <w:r>
        <w:rPr>
          <w:rFonts w:hint="eastAsia" w:ascii="宋体" w:hAnsi="宋体" w:eastAsia="宋体" w:cs="宋体"/>
          <w:lang w:val="en-US" w:eastAsia="zh-CN"/>
        </w:rPr>
        <w:t>4</w:t>
      </w:r>
      <w:r>
        <w:rPr>
          <w:rFonts w:hint="eastAsia" w:ascii="宋体" w:hAnsi="宋体" w:eastAsia="宋体" w:cs="宋体"/>
          <w:lang w:eastAsia="zh-CN"/>
        </w:rPr>
        <w:t xml:space="preserve"> </w:t>
      </w:r>
      <w:r>
        <w:rPr>
          <w:rFonts w:hint="eastAsia" w:ascii="宋体" w:hAnsi="宋体" w:eastAsia="宋体" w:cs="宋体"/>
          <w:lang w:val="en-US" w:eastAsia="zh-CN"/>
        </w:rPr>
        <w:t>风险识别与评估结果</w:t>
      </w:r>
      <w:bookmarkEnd w:id="57"/>
      <w:bookmarkEnd w:id="58"/>
      <w:bookmarkEnd w:id="59"/>
      <w:bookmarkEnd w:id="60"/>
    </w:p>
    <w:p w14:paraId="2EB0B6F9">
      <w:pPr>
        <w:spacing w:after="120" w:line="360" w:lineRule="auto"/>
        <w:ind w:firstLine="480"/>
        <w:rPr>
          <w:rFonts w:hint="eastAsia" w:ascii="宋体" w:hAnsi="宋体" w:eastAsia="宋体" w:cs="宋体"/>
          <w:b w:val="0"/>
          <w:sz w:val="24"/>
        </w:rPr>
      </w:pPr>
      <w:bookmarkStart w:id="61" w:name="OLE_LINK5"/>
      <w:bookmarkStart w:id="62" w:name="OLE_LINK6"/>
      <w:r>
        <w:rPr>
          <w:rFonts w:hint="eastAsia" w:ascii="宋体" w:hAnsi="宋体" w:eastAsia="宋体" w:cs="宋体"/>
          <w:b w:val="0"/>
          <w:sz w:val="24"/>
        </w:rPr>
        <w:t>报告期内，公司结合供应商反馈信息，依据尽责管理体系文件对全部来源</w:t>
      </w:r>
      <w:r>
        <w:rPr>
          <w:rFonts w:hint="eastAsia" w:ascii="宋体" w:hAnsi="宋体" w:eastAsia="宋体" w:cs="宋体"/>
          <w:b w:val="0"/>
          <w:sz w:val="24"/>
          <w:lang w:val="en-US" w:eastAsia="zh-CN"/>
        </w:rPr>
        <w:t>途径</w:t>
      </w:r>
      <w:r>
        <w:rPr>
          <w:rFonts w:hint="eastAsia" w:ascii="宋体" w:hAnsi="宋体" w:eastAsia="宋体" w:cs="宋体"/>
          <w:b w:val="0"/>
          <w:sz w:val="24"/>
        </w:rPr>
        <w:t>逐一开展CAHRAs识别与评估，结果显示：仅锂原产国马里属于CAHRAs地区，触发警示信号，属于高风险地区采购，需开展实地评估；其余来源</w:t>
      </w:r>
      <w:r>
        <w:rPr>
          <w:rFonts w:hint="eastAsia" w:ascii="宋体" w:hAnsi="宋体" w:eastAsia="宋体" w:cs="宋体"/>
          <w:b w:val="0"/>
          <w:sz w:val="24"/>
          <w:lang w:val="en-US" w:eastAsia="zh-CN"/>
        </w:rPr>
        <w:t>途径</w:t>
      </w:r>
      <w:r>
        <w:rPr>
          <w:rFonts w:hint="eastAsia" w:ascii="宋体" w:hAnsi="宋体" w:eastAsia="宋体" w:cs="宋体"/>
          <w:b w:val="0"/>
          <w:sz w:val="24"/>
        </w:rPr>
        <w:t>均未触发警示信号。</w:t>
      </w:r>
    </w:p>
    <w:p w14:paraId="6D12D288">
      <w:pPr>
        <w:spacing w:after="120" w:line="360" w:lineRule="auto"/>
        <w:ind w:firstLine="480"/>
        <w:rPr>
          <w:rFonts w:hint="eastAsia" w:ascii="宋体" w:hAnsi="宋体" w:eastAsia="宋体" w:cs="宋体"/>
        </w:rPr>
      </w:pPr>
      <w:r>
        <w:rPr>
          <w:rFonts w:hint="eastAsia" w:ascii="宋体" w:hAnsi="宋体" w:eastAsia="宋体" w:cs="宋体"/>
          <w:b w:val="0"/>
          <w:sz w:val="24"/>
        </w:rPr>
        <w:t>报告期内，涉及高风险地区采购的供应商仅1家，且为赣锋旗下控股子公司。基于高风险采购地区的实际情况，公司组建专业评估团队，通过矿产供应链尽职调查与评估，确认该矿山具备完善的政策与配套措施，可有效降低冲突、人权及治理层面的潜在风险。其他锂原料来源均未触发警示信号。同时，公司针对其他矿产供应商开展风险评估，暂未发现其他高风险供应商。</w:t>
      </w:r>
    </w:p>
    <w:bookmarkEnd w:id="61"/>
    <w:bookmarkEnd w:id="62"/>
    <w:p w14:paraId="34CFE42E">
      <w:pPr>
        <w:spacing w:line="360" w:lineRule="auto"/>
        <w:ind w:firstLine="420"/>
        <w:rPr>
          <w:rFonts w:hint="eastAsia" w:ascii="宋体" w:hAnsi="宋体" w:eastAsia="宋体" w:cs="宋体"/>
          <w:lang w:eastAsia="zh-CN"/>
        </w:rPr>
      </w:pPr>
    </w:p>
    <w:p w14:paraId="73E049A4">
      <w:pPr>
        <w:pStyle w:val="2"/>
        <w:spacing w:line="360" w:lineRule="auto"/>
        <w:rPr>
          <w:rFonts w:hint="eastAsia" w:ascii="宋体" w:hAnsi="宋体" w:eastAsia="宋体" w:cs="宋体"/>
          <w:lang w:eastAsia="zh-CN"/>
        </w:rPr>
      </w:pPr>
      <w:bookmarkStart w:id="63" w:name="_Toc211098177"/>
      <w:bookmarkStart w:id="64" w:name="_Toc8719"/>
      <w:bookmarkStart w:id="65" w:name="_Toc9861"/>
      <w:bookmarkStart w:id="66" w:name="_Toc27375"/>
      <w:r>
        <w:rPr>
          <w:rFonts w:hint="eastAsia" w:ascii="宋体" w:hAnsi="宋体" w:eastAsia="宋体" w:cs="宋体"/>
          <w:lang w:val="en-US" w:eastAsia="zh-CN"/>
        </w:rPr>
        <w:t>6</w:t>
      </w:r>
      <w:r>
        <w:rPr>
          <w:rFonts w:hint="eastAsia" w:ascii="宋体" w:hAnsi="宋体" w:eastAsia="宋体" w:cs="宋体"/>
          <w:lang w:eastAsia="zh-CN"/>
        </w:rPr>
        <w:t xml:space="preserve"> </w:t>
      </w:r>
      <w:r>
        <w:rPr>
          <w:rFonts w:hint="eastAsia" w:ascii="宋体" w:hAnsi="宋体" w:eastAsia="宋体" w:cs="宋体"/>
          <w:lang w:val="en-US" w:eastAsia="zh-CN"/>
        </w:rPr>
        <w:t>风险预防和缓解</w:t>
      </w:r>
      <w:bookmarkEnd w:id="63"/>
      <w:bookmarkEnd w:id="64"/>
      <w:bookmarkEnd w:id="65"/>
      <w:bookmarkEnd w:id="66"/>
    </w:p>
    <w:p w14:paraId="659B02F0">
      <w:pPr>
        <w:spacing w:after="120" w:line="360" w:lineRule="auto"/>
        <w:ind w:firstLine="480"/>
        <w:rPr>
          <w:rFonts w:hint="eastAsia" w:ascii="宋体" w:hAnsi="宋体" w:eastAsia="宋体" w:cs="宋体"/>
        </w:rPr>
      </w:pPr>
      <w:r>
        <w:rPr>
          <w:rFonts w:hint="eastAsia" w:ascii="宋体" w:hAnsi="宋体" w:eastAsia="宋体" w:cs="宋体"/>
          <w:b w:val="0"/>
          <w:sz w:val="24"/>
        </w:rPr>
        <w:t>公司基于收集的供应商信息，对供应商进行风险评估和分析，并将相应风险情况与供应商进行沟通，共同确立切实可行的改善行动；随后将风险及风险减缓计划上报公司领导审批。</w:t>
      </w:r>
    </w:p>
    <w:p w14:paraId="5CD941D7">
      <w:pPr>
        <w:spacing w:line="360" w:lineRule="auto"/>
        <w:ind w:firstLine="420"/>
        <w:rPr>
          <w:rFonts w:hint="eastAsia" w:ascii="宋体" w:hAnsi="宋体" w:eastAsia="宋体" w:cs="宋体"/>
          <w:lang w:eastAsia="zh-CN"/>
        </w:rPr>
      </w:pPr>
      <w:bookmarkStart w:id="67" w:name="OLE_LINK4"/>
    </w:p>
    <w:bookmarkEnd w:id="67"/>
    <w:p w14:paraId="1653E28D">
      <w:pPr>
        <w:pStyle w:val="3"/>
        <w:spacing w:line="360" w:lineRule="auto"/>
        <w:rPr>
          <w:rFonts w:hint="eastAsia" w:ascii="宋体" w:hAnsi="宋体" w:eastAsia="宋体" w:cs="宋体"/>
          <w:lang w:eastAsia="zh-CN"/>
        </w:rPr>
      </w:pPr>
      <w:bookmarkStart w:id="68" w:name="_Toc20988"/>
      <w:bookmarkStart w:id="69" w:name="_Toc25375"/>
      <w:bookmarkStart w:id="70" w:name="_Toc3579"/>
      <w:bookmarkStart w:id="71" w:name="_Toc211098179"/>
      <w:r>
        <w:rPr>
          <w:rFonts w:hint="eastAsia" w:ascii="宋体" w:hAnsi="宋体" w:eastAsia="宋体" w:cs="宋体"/>
          <w:lang w:val="en-US" w:eastAsia="zh-CN"/>
        </w:rPr>
        <w:t>6</w:t>
      </w:r>
      <w:r>
        <w:rPr>
          <w:rFonts w:hint="eastAsia" w:ascii="宋体" w:hAnsi="宋体" w:eastAsia="宋体" w:cs="宋体"/>
          <w:lang w:eastAsia="zh-CN"/>
        </w:rPr>
        <w:t>.1 风险减缓策略</w:t>
      </w:r>
      <w:bookmarkEnd w:id="68"/>
      <w:bookmarkEnd w:id="69"/>
      <w:bookmarkEnd w:id="70"/>
      <w:bookmarkEnd w:id="71"/>
    </w:p>
    <w:p w14:paraId="024D52C8">
      <w:pPr>
        <w:spacing w:line="360" w:lineRule="auto"/>
        <w:ind w:firstLine="420"/>
        <w:rPr>
          <w:rFonts w:hint="eastAsia" w:ascii="宋体" w:hAnsi="宋体" w:eastAsia="宋体" w:cs="宋体"/>
          <w:lang w:eastAsia="zh-CN"/>
        </w:rPr>
      </w:pPr>
      <w:r>
        <w:rPr>
          <w:rFonts w:hint="eastAsia" w:ascii="宋体" w:hAnsi="宋体" w:eastAsia="宋体" w:cs="宋体"/>
          <w:lang w:eastAsia="zh-CN"/>
        </w:rPr>
        <w:t>对于政策</w:t>
      </w:r>
      <w:r>
        <w:rPr>
          <w:rFonts w:hint="eastAsia" w:ascii="宋体" w:hAnsi="宋体" w:eastAsia="宋体" w:cs="宋体"/>
          <w:lang w:val="en-US" w:eastAsia="zh-CN"/>
        </w:rPr>
        <w:t>涵盖的任何</w:t>
      </w:r>
      <w:r>
        <w:rPr>
          <w:rFonts w:hint="eastAsia" w:ascii="宋体" w:hAnsi="宋体" w:eastAsia="宋体" w:cs="宋体"/>
          <w:lang w:eastAsia="zh-CN"/>
        </w:rPr>
        <w:t>风险，根据公司的供应链政策中的风险缓解策略，制定和采用风险缓解计划，并与供应商、与受影响的相关方协商达成一致。风险缓解策略包括：</w:t>
      </w:r>
    </w:p>
    <w:p w14:paraId="6B6D7023">
      <w:pPr>
        <w:spacing w:line="360" w:lineRule="auto"/>
        <w:ind w:firstLine="420"/>
        <w:rPr>
          <w:rFonts w:hint="eastAsia" w:ascii="宋体" w:hAnsi="宋体" w:eastAsia="宋体" w:cs="宋体"/>
          <w:lang w:eastAsia="zh-CN"/>
        </w:rPr>
      </w:pPr>
      <w:r>
        <w:rPr>
          <w:rFonts w:hint="eastAsia" w:ascii="宋体" w:hAnsi="宋体" w:eastAsia="宋体" w:cs="宋体"/>
          <w:lang w:eastAsia="zh-CN"/>
        </w:rPr>
        <w:t>（1）在整个可衡量风险缓解过程中继续开展贸易；</w:t>
      </w:r>
    </w:p>
    <w:p w14:paraId="6073D25F">
      <w:pPr>
        <w:spacing w:line="360" w:lineRule="auto"/>
        <w:ind w:firstLine="420"/>
        <w:rPr>
          <w:rFonts w:hint="eastAsia" w:ascii="宋体" w:hAnsi="宋体" w:eastAsia="宋体" w:cs="宋体"/>
          <w:lang w:eastAsia="zh-CN"/>
        </w:rPr>
      </w:pPr>
      <w:r>
        <w:rPr>
          <w:rFonts w:hint="eastAsia" w:ascii="宋体" w:hAnsi="宋体" w:eastAsia="宋体" w:cs="宋体"/>
          <w:lang w:eastAsia="zh-CN"/>
        </w:rPr>
        <w:t>（2）在不断降低风险的同时暂时中止贸易；</w:t>
      </w:r>
    </w:p>
    <w:p w14:paraId="25BF5A78">
      <w:pPr>
        <w:spacing w:line="360" w:lineRule="auto"/>
        <w:ind w:firstLine="420"/>
        <w:rPr>
          <w:rFonts w:hint="eastAsia" w:ascii="宋体" w:hAnsi="宋体" w:eastAsia="宋体" w:cs="宋体"/>
          <w:lang w:eastAsia="zh-CN"/>
        </w:rPr>
      </w:pPr>
      <w:r>
        <w:rPr>
          <w:rFonts w:hint="eastAsia" w:ascii="宋体" w:hAnsi="宋体" w:eastAsia="宋体" w:cs="宋体"/>
          <w:lang w:eastAsia="zh-CN"/>
        </w:rPr>
        <w:t>（3）在风险缓解措施不可行或无法接受的情况下终止与供应商的合作。</w:t>
      </w:r>
    </w:p>
    <w:p w14:paraId="6EB663DB">
      <w:pPr>
        <w:pStyle w:val="3"/>
        <w:spacing w:line="360" w:lineRule="auto"/>
        <w:rPr>
          <w:rFonts w:hint="eastAsia" w:ascii="宋体" w:hAnsi="宋体" w:eastAsia="宋体" w:cs="宋体"/>
          <w:lang w:eastAsia="zh-CN"/>
        </w:rPr>
      </w:pPr>
      <w:bookmarkStart w:id="72" w:name="_Toc211098180"/>
      <w:bookmarkStart w:id="73" w:name="_Toc15561"/>
      <w:bookmarkStart w:id="74" w:name="_Toc29268"/>
      <w:bookmarkStart w:id="75" w:name="_Toc1035"/>
      <w:r>
        <w:rPr>
          <w:rFonts w:hint="eastAsia" w:ascii="宋体" w:hAnsi="宋体" w:eastAsia="宋体" w:cs="宋体"/>
          <w:lang w:val="en-US" w:eastAsia="zh-CN"/>
        </w:rPr>
        <w:t>6</w:t>
      </w:r>
      <w:r>
        <w:rPr>
          <w:rFonts w:hint="eastAsia" w:ascii="宋体" w:hAnsi="宋体" w:eastAsia="宋体" w:cs="宋体"/>
          <w:lang w:eastAsia="zh-CN"/>
        </w:rPr>
        <w:t>.2 监测和跟踪风险管理计划</w:t>
      </w:r>
      <w:bookmarkEnd w:id="72"/>
      <w:bookmarkEnd w:id="73"/>
      <w:bookmarkEnd w:id="74"/>
      <w:bookmarkEnd w:id="75"/>
    </w:p>
    <w:p w14:paraId="40778D00">
      <w:pPr>
        <w:spacing w:line="360" w:lineRule="auto"/>
        <w:ind w:firstLine="420"/>
        <w:rPr>
          <w:rFonts w:hint="eastAsia" w:ascii="宋体" w:hAnsi="宋体" w:eastAsia="宋体" w:cs="宋体"/>
          <w:lang w:eastAsia="zh-CN"/>
        </w:rPr>
      </w:pPr>
      <w:r>
        <w:rPr>
          <w:rFonts w:hint="eastAsia" w:ascii="宋体" w:hAnsi="宋体" w:eastAsia="宋体" w:cs="宋体"/>
          <w:lang w:eastAsia="zh-CN"/>
        </w:rPr>
        <w:t>持续监控风险，评估风险缓解措施的有效性。如果必要，在相关风险或风险情况产生变化后，再次进行风险评估。</w:t>
      </w:r>
    </w:p>
    <w:p w14:paraId="515538BD">
      <w:pPr>
        <w:spacing w:line="360" w:lineRule="auto"/>
        <w:ind w:firstLine="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6.3 风险预防和缓解结果</w:t>
      </w:r>
    </w:p>
    <w:p w14:paraId="60C4D5AE">
      <w:pPr>
        <w:spacing w:after="120" w:line="360" w:lineRule="auto"/>
        <w:ind w:firstLine="480"/>
        <w:rPr>
          <w:rFonts w:hint="eastAsia" w:ascii="宋体" w:hAnsi="宋体" w:eastAsia="宋体" w:cs="宋体"/>
          <w:lang w:val="en-US" w:eastAsia="zh-CN"/>
        </w:rPr>
      </w:pPr>
      <w:r>
        <w:rPr>
          <w:rFonts w:hint="eastAsia" w:ascii="宋体" w:hAnsi="宋体" w:eastAsia="宋体" w:cs="宋体"/>
          <w:b w:val="0"/>
          <w:sz w:val="24"/>
        </w:rPr>
        <w:t>报告期内，公司识别出1家CAHRAs地区矿产供应商。公司已对该供应商的风险情况开展尽职调查，与供应商共同制定整改计划并持续进行风险跟踪监测。报告期内，公司其他矿产供应商的风险情况也已开展定期评估与风险缓解计划跟踪。</w:t>
      </w:r>
    </w:p>
    <w:p w14:paraId="1F108A9A">
      <w:pPr>
        <w:pStyle w:val="2"/>
        <w:spacing w:line="360" w:lineRule="auto"/>
        <w:rPr>
          <w:rFonts w:hint="eastAsia" w:ascii="宋体" w:hAnsi="宋体" w:eastAsia="宋体" w:cs="宋体"/>
          <w:lang w:eastAsia="zh-CN"/>
        </w:rPr>
      </w:pPr>
      <w:bookmarkStart w:id="76" w:name="_Toc211098181"/>
      <w:bookmarkStart w:id="77" w:name="_Toc5746"/>
      <w:bookmarkStart w:id="78" w:name="_Toc7450"/>
      <w:bookmarkStart w:id="79" w:name="_Toc28880"/>
      <w:r>
        <w:rPr>
          <w:rFonts w:hint="eastAsia" w:ascii="宋体" w:hAnsi="宋体" w:eastAsia="宋体" w:cs="宋体"/>
          <w:lang w:val="en-US" w:eastAsia="zh-CN"/>
        </w:rPr>
        <w:t>7</w:t>
      </w:r>
      <w:r>
        <w:rPr>
          <w:rFonts w:hint="eastAsia" w:ascii="宋体" w:hAnsi="宋体" w:eastAsia="宋体" w:cs="宋体"/>
          <w:lang w:eastAsia="zh-CN"/>
        </w:rPr>
        <w:t xml:space="preserve"> </w:t>
      </w:r>
      <w:r>
        <w:rPr>
          <w:rFonts w:hint="eastAsia" w:ascii="宋体" w:hAnsi="宋体" w:eastAsia="宋体" w:cs="宋体"/>
          <w:lang w:val="en-US" w:eastAsia="zh-CN"/>
        </w:rPr>
        <w:t>内外部评估</w:t>
      </w:r>
      <w:bookmarkEnd w:id="76"/>
      <w:bookmarkEnd w:id="77"/>
      <w:bookmarkEnd w:id="78"/>
      <w:bookmarkEnd w:id="79"/>
    </w:p>
    <w:p w14:paraId="35E8331C">
      <w:pPr>
        <w:spacing w:line="360" w:lineRule="auto"/>
        <w:ind w:firstLine="420"/>
        <w:rPr>
          <w:rFonts w:hint="eastAsia" w:ascii="宋体" w:hAnsi="宋体" w:eastAsia="宋体" w:cs="宋体"/>
          <w:lang w:eastAsia="zh-CN"/>
        </w:rPr>
      </w:pPr>
      <w:r>
        <w:rPr>
          <w:rFonts w:hint="eastAsia" w:ascii="宋体" w:hAnsi="宋体" w:eastAsia="宋体" w:cs="宋体"/>
          <w:lang w:eastAsia="zh-CN"/>
        </w:rPr>
        <w:t>赣锋</w:t>
      </w:r>
      <w:r>
        <w:rPr>
          <w:rFonts w:hint="eastAsia" w:ascii="宋体" w:hAnsi="宋体" w:eastAsia="宋体" w:cs="宋体"/>
          <w:lang w:val="en-US" w:eastAsia="zh-CN"/>
        </w:rPr>
        <w:t>组建内审团队，按照年度计划进行内审以保证可持续供应链体系运行有效；同时公司</w:t>
      </w:r>
      <w:r>
        <w:rPr>
          <w:rFonts w:hint="eastAsia" w:ascii="宋体" w:hAnsi="宋体" w:eastAsia="宋体" w:cs="宋体"/>
          <w:lang w:eastAsia="zh-CN"/>
        </w:rPr>
        <w:t>积极响应负责任矿产尽责管理要求，参与第三方审核，满足利益相关方对负责任矿产供应链合规、透明的期望，欢迎有资质的第三方审计机构进行尽责管理规范化指导。</w:t>
      </w:r>
    </w:p>
    <w:p w14:paraId="661E13B8">
      <w:pPr>
        <w:spacing w:line="360" w:lineRule="auto"/>
        <w:ind w:firstLine="420"/>
        <w:rPr>
          <w:rFonts w:hint="eastAsia" w:ascii="宋体" w:hAnsi="宋体" w:eastAsia="宋体" w:cs="宋体"/>
          <w:lang w:eastAsia="zh-CN"/>
        </w:rPr>
      </w:pPr>
    </w:p>
    <w:p w14:paraId="3FEEA5BC">
      <w:pPr>
        <w:spacing w:line="360" w:lineRule="auto"/>
        <w:ind w:firstLine="420"/>
        <w:rPr>
          <w:rFonts w:hint="eastAsia" w:ascii="宋体" w:hAnsi="宋体" w:eastAsia="宋体" w:cs="宋体"/>
          <w:lang w:eastAsia="zh-CN"/>
        </w:rPr>
      </w:pPr>
      <w:r>
        <w:rPr>
          <w:rFonts w:hint="eastAsia" w:ascii="宋体" w:hAnsi="宋体" w:eastAsia="宋体" w:cs="宋体"/>
          <w:lang w:eastAsia="zh-CN"/>
        </w:rPr>
        <w:t>报告期内，</w:t>
      </w:r>
      <w:r>
        <w:rPr>
          <w:rFonts w:hint="eastAsia" w:ascii="宋体" w:hAnsi="宋体" w:eastAsia="宋体" w:cs="宋体"/>
          <w:lang w:val="en-US" w:eastAsia="zh-CN"/>
        </w:rPr>
        <w:t>公司已完成负责任矿产供应链管理体系内审评估，并开展了年度矿产供应链尽责管理的第三方审验</w:t>
      </w:r>
      <w:r>
        <w:rPr>
          <w:rFonts w:hint="eastAsia" w:ascii="宋体" w:hAnsi="宋体" w:eastAsia="宋体" w:cs="宋体"/>
          <w:lang w:eastAsia="zh-CN"/>
        </w:rPr>
        <w:t>，以对锂矿产原材料进行溯源，确保供应链稳定可靠。</w:t>
      </w:r>
    </w:p>
    <w:p w14:paraId="655078BF">
      <w:pPr>
        <w:pStyle w:val="2"/>
        <w:spacing w:line="360" w:lineRule="auto"/>
        <w:rPr>
          <w:rFonts w:hint="eastAsia" w:ascii="宋体" w:hAnsi="宋体" w:eastAsia="宋体" w:cs="宋体"/>
          <w:lang w:val="en-US" w:eastAsia="zh-CN"/>
        </w:rPr>
      </w:pPr>
      <w:bookmarkStart w:id="80" w:name="_Toc23877"/>
      <w:bookmarkStart w:id="81" w:name="_Toc3452"/>
      <w:bookmarkStart w:id="82" w:name="_Toc2137"/>
      <w:r>
        <w:rPr>
          <w:rFonts w:hint="eastAsia" w:ascii="宋体" w:hAnsi="宋体" w:eastAsia="宋体" w:cs="宋体"/>
          <w:lang w:val="en-US" w:eastAsia="zh-CN"/>
        </w:rPr>
        <w:t>8</w:t>
      </w:r>
      <w:r>
        <w:rPr>
          <w:rFonts w:hint="eastAsia" w:ascii="宋体" w:hAnsi="宋体" w:eastAsia="宋体" w:cs="宋体"/>
          <w:lang w:eastAsia="zh-CN"/>
        </w:rPr>
        <w:t xml:space="preserve"> </w:t>
      </w:r>
      <w:r>
        <w:rPr>
          <w:rFonts w:hint="eastAsia" w:ascii="宋体" w:hAnsi="宋体" w:eastAsia="宋体" w:cs="宋体"/>
          <w:lang w:val="en-US" w:eastAsia="zh-CN"/>
        </w:rPr>
        <w:t>报告与沟通</w:t>
      </w:r>
      <w:bookmarkEnd w:id="80"/>
      <w:bookmarkEnd w:id="81"/>
      <w:bookmarkEnd w:id="82"/>
    </w:p>
    <w:p w14:paraId="41B41262">
      <w:pPr>
        <w:spacing w:line="360" w:lineRule="auto"/>
        <w:ind w:firstLine="420"/>
        <w:rPr>
          <w:rFonts w:hint="eastAsia" w:ascii="宋体" w:hAnsi="宋体" w:eastAsia="宋体" w:cs="宋体"/>
          <w:lang w:val="en-US" w:eastAsia="zh-CN"/>
        </w:rPr>
      </w:pPr>
      <w:r>
        <w:rPr>
          <w:rFonts w:hint="eastAsia" w:ascii="宋体" w:hAnsi="宋体" w:eastAsia="宋体" w:cs="宋体"/>
          <w:lang w:val="en-US" w:eastAsia="zh-CN"/>
        </w:rPr>
        <w:t>赣锋每年以年度报告形式在赣锋官网披露有关矿产供应链尽责管理的报告。</w:t>
      </w:r>
    </w:p>
    <w:p w14:paraId="17528204">
      <w:pPr>
        <w:spacing w:line="360" w:lineRule="auto"/>
        <w:ind w:firstLine="420"/>
        <w:rPr>
          <w:rFonts w:hint="eastAsia" w:ascii="宋体" w:hAnsi="宋体" w:eastAsia="宋体" w:cs="宋体"/>
          <w:lang w:val="en-US" w:eastAsia="zh-CN"/>
        </w:rPr>
      </w:pPr>
      <w:r>
        <w:rPr>
          <w:rFonts w:hint="eastAsia" w:ascii="宋体" w:hAnsi="宋体" w:eastAsia="宋体" w:cs="宋体"/>
          <w:lang w:val="en-US" w:eastAsia="zh-CN"/>
        </w:rPr>
        <w:t>本报告涵盖时间段：2025年10月1日-2026年9月30日。并通过电子版形式发布，利益相关方可于共公司官方网站可持续发展-供应链管理模块在线浏览或下载（</w:t>
      </w:r>
      <w:r>
        <w:rPr>
          <w:rFonts w:hint="eastAsia" w:ascii="宋体" w:hAnsi="宋体" w:eastAsia="宋体" w:cs="宋体"/>
          <w:lang w:val="en-US" w:eastAsia="zh-CN"/>
        </w:rPr>
        <w:fldChar w:fldCharType="begin"/>
      </w:r>
      <w:r>
        <w:rPr>
          <w:rFonts w:hint="eastAsia" w:ascii="宋体" w:hAnsi="宋体" w:eastAsia="宋体" w:cs="宋体"/>
          <w:lang w:val="en-US" w:eastAsia="zh-CN"/>
        </w:rPr>
        <w:instrText xml:space="preserve"> HYPERLINK "https://www.ganfenglithium.com/esg3.html" </w:instrText>
      </w:r>
      <w:r>
        <w:rPr>
          <w:rFonts w:hint="eastAsia" w:ascii="宋体" w:hAnsi="宋体" w:eastAsia="宋体" w:cs="宋体"/>
          <w:lang w:val="en-US" w:eastAsia="zh-CN"/>
        </w:rPr>
        <w:fldChar w:fldCharType="separate"/>
      </w:r>
      <w:r>
        <w:rPr>
          <w:rFonts w:hint="eastAsia" w:ascii="宋体" w:hAnsi="宋体" w:eastAsia="宋体" w:cs="宋体"/>
          <w:lang w:val="en-US" w:eastAsia="zh-CN"/>
        </w:rPr>
        <w:t>https://www.ganfenglithium.com/esg3.html</w:t>
      </w:r>
      <w:r>
        <w:rPr>
          <w:rFonts w:hint="eastAsia" w:ascii="宋体" w:hAnsi="宋体" w:eastAsia="宋体" w:cs="宋体"/>
          <w:lang w:val="en-US" w:eastAsia="zh-CN"/>
        </w:rPr>
        <w:fldChar w:fldCharType="end"/>
      </w:r>
      <w:r>
        <w:rPr>
          <w:rFonts w:hint="eastAsia" w:ascii="宋体" w:hAnsi="宋体" w:eastAsia="宋体" w:cs="宋体"/>
          <w:lang w:val="en-US" w:eastAsia="zh-CN"/>
        </w:rPr>
        <w:t>）。</w:t>
      </w:r>
    </w:p>
    <w:p w14:paraId="39F0CFA6">
      <w:pPr>
        <w:spacing w:line="360" w:lineRule="auto"/>
        <w:ind w:firstLine="420"/>
        <w:rPr>
          <w:rFonts w:hint="eastAsia" w:ascii="宋体" w:hAnsi="宋体" w:eastAsia="宋体" w:cs="宋体"/>
          <w:lang w:val="en-US" w:eastAsia="zh-CN"/>
        </w:rPr>
      </w:pPr>
    </w:p>
    <w:p w14:paraId="5BB81F39">
      <w:pPr>
        <w:pStyle w:val="2"/>
        <w:spacing w:line="360" w:lineRule="auto"/>
        <w:rPr>
          <w:rFonts w:hint="eastAsia" w:ascii="宋体" w:hAnsi="宋体" w:eastAsia="宋体" w:cs="宋体"/>
          <w:lang w:val="en-US" w:eastAsia="zh-CN"/>
        </w:rPr>
      </w:pPr>
      <w:bookmarkStart w:id="83" w:name="_Toc2088"/>
      <w:bookmarkStart w:id="84" w:name="_Toc26051"/>
      <w:bookmarkStart w:id="85" w:name="_Toc15936"/>
      <w:r>
        <w:rPr>
          <w:rFonts w:hint="eastAsia" w:ascii="宋体" w:hAnsi="宋体" w:eastAsia="宋体" w:cs="宋体"/>
          <w:lang w:val="en-US" w:eastAsia="zh-CN"/>
        </w:rPr>
        <w:t>9</w:t>
      </w:r>
      <w:r>
        <w:rPr>
          <w:rFonts w:hint="eastAsia" w:ascii="宋体" w:hAnsi="宋体" w:eastAsia="宋体" w:cs="宋体"/>
          <w:lang w:eastAsia="zh-CN"/>
        </w:rPr>
        <w:t xml:space="preserve"> </w:t>
      </w:r>
      <w:r>
        <w:rPr>
          <w:rFonts w:hint="eastAsia" w:ascii="宋体" w:hAnsi="宋体" w:eastAsia="宋体" w:cs="宋体"/>
          <w:lang w:val="en-US" w:eastAsia="zh-CN"/>
        </w:rPr>
        <w:t>适时提供条件或开展合作进行补救</w:t>
      </w:r>
      <w:bookmarkEnd w:id="83"/>
      <w:bookmarkEnd w:id="84"/>
      <w:bookmarkEnd w:id="85"/>
    </w:p>
    <w:p w14:paraId="1202BBA0">
      <w:pPr>
        <w:spacing w:line="360" w:lineRule="auto"/>
        <w:ind w:firstLine="420"/>
        <w:rPr>
          <w:rFonts w:hint="eastAsia" w:ascii="宋体" w:hAnsi="宋体" w:eastAsia="宋体" w:cs="宋体"/>
          <w:lang w:val="en-US" w:eastAsia="zh-CN"/>
        </w:rPr>
      </w:pPr>
      <w:r>
        <w:rPr>
          <w:rFonts w:hint="eastAsia" w:ascii="宋体" w:hAnsi="宋体" w:eastAsia="宋体" w:cs="宋体"/>
          <w:lang w:val="en-US" w:eastAsia="zh-CN"/>
        </w:rPr>
        <w:t>根据《中国指南》第二版要求，公司建立并持续完善申诉与补救机制，以有效处理因公司运营或供应链活动引发的环境、社会及治理（ESG）方面的不利影响。本报告期内，未发生需要补救的事件。</w:t>
      </w:r>
    </w:p>
    <w:p w14:paraId="26ECC9E6">
      <w:pPr>
        <w:spacing w:line="360" w:lineRule="auto"/>
        <w:rPr>
          <w:rFonts w:hint="eastAsia" w:ascii="宋体" w:hAnsi="宋体" w:eastAsia="宋体" w:cs="宋体"/>
          <w:lang w:val="en-US" w:eastAsia="zh-CN"/>
        </w:rPr>
      </w:pPr>
    </w:p>
    <w:p w14:paraId="03354373">
      <w:pPr>
        <w:spacing w:line="360" w:lineRule="auto"/>
        <w:ind w:firstLine="0"/>
        <w:rPr>
          <w:rFonts w:hint="eastAsia" w:ascii="宋体" w:hAnsi="宋体" w:eastAsia="宋体" w:cs="宋体"/>
          <w:lang w:eastAsia="zh-CN"/>
        </w:rPr>
      </w:pPr>
    </w:p>
    <w:p w14:paraId="74E08AC4">
      <w:pPr>
        <w:pStyle w:val="2"/>
        <w:spacing w:line="360" w:lineRule="auto"/>
        <w:rPr>
          <w:rFonts w:hint="eastAsia" w:ascii="宋体" w:hAnsi="宋体" w:eastAsia="宋体" w:cs="宋体"/>
          <w:lang w:eastAsia="zh-CN"/>
        </w:rPr>
      </w:pPr>
      <w:bookmarkStart w:id="86" w:name="_Toc2157"/>
      <w:bookmarkStart w:id="87" w:name="_Toc21932"/>
      <w:bookmarkStart w:id="88" w:name="_Toc211098182"/>
      <w:bookmarkStart w:id="89" w:name="_Toc19980"/>
      <w:r>
        <w:rPr>
          <w:rFonts w:hint="eastAsia" w:ascii="宋体" w:hAnsi="宋体" w:eastAsia="宋体" w:cs="宋体"/>
          <w:lang w:val="en-US" w:eastAsia="zh-CN"/>
        </w:rPr>
        <w:t xml:space="preserve">10 </w:t>
      </w:r>
      <w:r>
        <w:rPr>
          <w:rFonts w:hint="eastAsia" w:ascii="宋体" w:hAnsi="宋体" w:eastAsia="宋体" w:cs="宋体"/>
          <w:lang w:eastAsia="zh-CN"/>
        </w:rPr>
        <w:t>培训</w:t>
      </w:r>
      <w:bookmarkEnd w:id="86"/>
      <w:bookmarkEnd w:id="87"/>
      <w:bookmarkEnd w:id="88"/>
      <w:bookmarkEnd w:id="89"/>
    </w:p>
    <w:p w14:paraId="64217773">
      <w:pPr>
        <w:spacing w:line="360" w:lineRule="auto"/>
        <w:ind w:firstLine="420"/>
        <w:rPr>
          <w:rFonts w:hint="eastAsia" w:ascii="宋体" w:hAnsi="宋体" w:eastAsia="宋体" w:cs="宋体"/>
          <w:lang w:eastAsia="zh-CN"/>
        </w:rPr>
      </w:pPr>
      <w:r>
        <w:rPr>
          <w:rFonts w:hint="eastAsia" w:ascii="宋体" w:hAnsi="宋体" w:eastAsia="宋体" w:cs="宋体"/>
          <w:sz w:val="24"/>
          <w:szCs w:val="24"/>
          <w:lang w:val="en-US" w:eastAsia="zh-CN"/>
        </w:rPr>
        <w:t>公司深知负责任矿产供应链需要全供应链共同协作，因此公司与供应商建立紧密的合作与沟通关系。公司通过能力建设、定期对话，与供应商保持常态化沟通，提升整个供应链的管理水平，实现可持续的协同发展。同时，</w:t>
      </w:r>
      <w:r>
        <w:rPr>
          <w:rFonts w:hint="eastAsia" w:ascii="宋体" w:hAnsi="宋体" w:eastAsia="宋体" w:cs="宋体"/>
          <w:lang w:eastAsia="zh-CN"/>
        </w:rPr>
        <w:t>公司负责任矿产供应链管理小组每年度至少展开一次供应链尽责管理培训并为供应商提供能力培训。</w:t>
      </w:r>
    </w:p>
    <w:p w14:paraId="7C38E24E">
      <w:pPr>
        <w:spacing w:after="120" w:line="360" w:lineRule="auto"/>
        <w:ind w:firstLine="480"/>
        <w:rPr>
          <w:rFonts w:hint="eastAsia" w:ascii="宋体" w:hAnsi="宋体" w:eastAsia="宋体" w:cs="宋体"/>
          <w:sz w:val="28"/>
          <w:szCs w:val="28"/>
          <w:lang w:eastAsia="zh-CN"/>
        </w:rPr>
      </w:pPr>
      <w:bookmarkStart w:id="90" w:name="OLE_LINK3"/>
      <w:r>
        <w:rPr>
          <w:rFonts w:hint="eastAsia" w:ascii="宋体" w:hAnsi="宋体" w:eastAsia="宋体" w:cs="宋体"/>
          <w:b w:val="0"/>
          <w:sz w:val="24"/>
        </w:rPr>
        <w:t>报告期内，公司组织了1场内部培训，面向负责任矿产供应链管理小组全体成员，对负责任矿产供应链政策及工作流程进行详细解读，系统提升工作组成员在负责任采购领域的专业素养与实务能力；同步面向供应商开展2场赋能培训，以"深耕供应链尽责，共建绿色共赢生态"</w:t>
      </w:r>
      <w:r>
        <w:rPr>
          <w:rStyle w:val="21"/>
          <w:rFonts w:hint="eastAsia" w:ascii="宋体" w:hAnsi="宋体" w:eastAsia="宋体" w:cs="宋体"/>
          <w:b w:val="0"/>
          <w:sz w:val="24"/>
        </w:rPr>
        <w:footnoteReference w:id="0"/>
      </w:r>
      <w:r>
        <w:rPr>
          <w:rFonts w:hint="eastAsia" w:ascii="宋体" w:hAnsi="宋体" w:eastAsia="宋体" w:cs="宋体"/>
          <w:b w:val="0"/>
          <w:sz w:val="24"/>
        </w:rPr>
        <w:t>为主题，围绕供应链尽责管理、产品碳管理两大核心模块开展专业化赋能，推动供应链伙伴协同提升。</w:t>
      </w:r>
    </w:p>
    <w:p w14:paraId="49184FD1">
      <w:pPr>
        <w:pStyle w:val="2"/>
        <w:spacing w:line="360" w:lineRule="auto"/>
        <w:rPr>
          <w:rFonts w:hint="eastAsia" w:ascii="宋体" w:hAnsi="宋体" w:eastAsia="宋体" w:cs="宋体"/>
          <w:lang w:eastAsia="zh-CN"/>
        </w:rPr>
      </w:pPr>
      <w:bookmarkStart w:id="91" w:name="_Toc26044"/>
      <w:bookmarkStart w:id="92" w:name="_Toc227"/>
      <w:bookmarkStart w:id="93" w:name="_Toc13022"/>
      <w:bookmarkStart w:id="94" w:name="_Toc211098183"/>
      <w:r>
        <w:rPr>
          <w:rFonts w:hint="eastAsia" w:ascii="宋体" w:hAnsi="宋体" w:eastAsia="宋体" w:cs="宋体"/>
          <w:lang w:eastAsia="zh-CN"/>
        </w:rPr>
        <w:t>1</w:t>
      </w:r>
      <w:r>
        <w:rPr>
          <w:rFonts w:hint="eastAsia" w:ascii="宋体" w:hAnsi="宋体" w:eastAsia="宋体" w:cs="宋体"/>
          <w:lang w:val="en-US" w:eastAsia="zh-CN"/>
        </w:rPr>
        <w:t xml:space="preserve">1 </w:t>
      </w:r>
      <w:r>
        <w:rPr>
          <w:rFonts w:hint="eastAsia" w:ascii="宋体" w:hAnsi="宋体" w:eastAsia="宋体" w:cs="宋体"/>
          <w:lang w:eastAsia="zh-CN"/>
        </w:rPr>
        <w:t>申诉机制</w:t>
      </w:r>
      <w:bookmarkEnd w:id="91"/>
      <w:bookmarkEnd w:id="92"/>
      <w:bookmarkEnd w:id="93"/>
      <w:bookmarkEnd w:id="94"/>
    </w:p>
    <w:p w14:paraId="685BED4B">
      <w:pPr>
        <w:spacing w:line="360" w:lineRule="auto"/>
        <w:rPr>
          <w:rFonts w:hint="eastAsia" w:ascii="宋体" w:hAnsi="宋体" w:eastAsia="宋体" w:cs="宋体"/>
          <w:lang w:eastAsia="zh-CN"/>
        </w:rPr>
      </w:pPr>
      <w:r>
        <w:rPr>
          <w:rFonts w:hint="eastAsia" w:ascii="宋体" w:hAnsi="宋体" w:eastAsia="宋体" w:cs="宋体"/>
          <w:lang w:eastAsia="zh-CN"/>
        </w:rPr>
        <w:tab/>
      </w:r>
      <w:r>
        <w:rPr>
          <w:rFonts w:hint="eastAsia" w:ascii="宋体" w:hAnsi="宋体" w:eastAsia="宋体" w:cs="宋体"/>
          <w:lang w:eastAsia="zh-CN"/>
        </w:rPr>
        <w:t>公司建立申诉机制，并在官方网站</w:t>
      </w:r>
      <w:r>
        <w:rPr>
          <w:rStyle w:val="21"/>
          <w:rFonts w:hint="eastAsia" w:ascii="宋体" w:hAnsi="宋体" w:eastAsia="宋体" w:cs="宋体"/>
          <w:lang w:eastAsia="zh-CN"/>
        </w:rPr>
        <w:footnoteReference w:id="1"/>
      </w:r>
      <w:r>
        <w:rPr>
          <w:rFonts w:hint="eastAsia" w:ascii="宋体" w:hAnsi="宋体" w:eastAsia="宋体" w:cs="宋体"/>
          <w:lang w:eastAsia="zh-CN"/>
        </w:rPr>
        <w:t>中公布电话、电子邮箱，赣锋诚挚邀请利益相关方就社会责任及供应链尽责管理建言献策，并设立正当、畅通、公正的申诉渠道，确保每一份意见与申诉均获妥善回应，持续规范并提升公司履责水平。申诉全流程将严格保密举报人身份信息，确保隐私不受侵犯，严禁任何形式的打击报复。</w:t>
      </w:r>
    </w:p>
    <w:p w14:paraId="59AE73F7">
      <w:pPr>
        <w:spacing w:line="360" w:lineRule="auto"/>
        <w:rPr>
          <w:rFonts w:hint="eastAsia" w:ascii="宋体" w:hAnsi="宋体" w:eastAsia="宋体" w:cs="宋体"/>
          <w:lang w:eastAsia="zh-CN"/>
        </w:rPr>
      </w:pPr>
    </w:p>
    <w:p w14:paraId="28BC1DEE">
      <w:pPr>
        <w:spacing w:line="360" w:lineRule="auto"/>
        <w:rPr>
          <w:rFonts w:hint="eastAsia" w:ascii="宋体" w:hAnsi="宋体" w:eastAsia="宋体" w:cs="宋体"/>
          <w:b/>
          <w:bCs/>
          <w:lang w:eastAsia="zh-CN"/>
        </w:rPr>
      </w:pPr>
      <w:r>
        <w:rPr>
          <w:rFonts w:hint="eastAsia" w:ascii="宋体" w:hAnsi="宋体" w:eastAsia="宋体" w:cs="宋体"/>
          <w:b/>
          <w:bCs/>
          <w:lang w:eastAsia="zh-CN"/>
        </w:rPr>
        <w:t>申诉渠道：</w:t>
      </w:r>
    </w:p>
    <w:p w14:paraId="3F7BA511">
      <w:pPr>
        <w:spacing w:line="360" w:lineRule="auto"/>
        <w:rPr>
          <w:rFonts w:hint="eastAsia" w:ascii="宋体" w:hAnsi="宋体" w:eastAsia="宋体" w:cs="宋体"/>
          <w:lang w:eastAsia="zh-CN"/>
        </w:rPr>
      </w:pPr>
      <w:r>
        <w:rPr>
          <w:rFonts w:hint="eastAsia" w:ascii="宋体" w:hAnsi="宋体" w:eastAsia="宋体" w:cs="宋体"/>
          <w:lang w:eastAsia="zh-CN"/>
        </w:rPr>
        <w:t>申述电话：0790-6415606，+86 21 50806009</w:t>
      </w:r>
      <w:r>
        <w:rPr>
          <w:rFonts w:hint="eastAsia" w:ascii="宋体" w:hAnsi="宋体" w:eastAsia="宋体" w:cs="宋体"/>
          <w:lang w:eastAsia="zh-CN"/>
        </w:rPr>
        <w:br w:type="textWrapping"/>
      </w:r>
      <w:r>
        <w:rPr>
          <w:rFonts w:hint="eastAsia" w:ascii="宋体" w:hAnsi="宋体" w:eastAsia="宋体" w:cs="宋体"/>
          <w:lang w:eastAsia="zh-CN"/>
        </w:rPr>
        <w:t>申述邮箱：</w:t>
      </w:r>
      <w:r>
        <w:rPr>
          <w:rFonts w:hint="eastAsia" w:ascii="宋体" w:hAnsi="宋体" w:eastAsia="宋体" w:cs="宋体"/>
          <w:lang w:eastAsia="zh-CN"/>
        </w:rPr>
        <w:fldChar w:fldCharType="begin"/>
      </w:r>
      <w:r>
        <w:rPr>
          <w:rFonts w:hint="eastAsia" w:ascii="宋体" w:hAnsi="宋体" w:eastAsia="宋体" w:cs="宋体"/>
          <w:lang w:eastAsia="zh-CN"/>
        </w:rPr>
        <w:instrText xml:space="preserve"> HYPERLINK "mailto:esg@ganfenglithium.com" </w:instrText>
      </w:r>
      <w:r>
        <w:rPr>
          <w:rFonts w:hint="eastAsia" w:ascii="宋体" w:hAnsi="宋体" w:eastAsia="宋体" w:cs="宋体"/>
          <w:lang w:eastAsia="zh-CN"/>
        </w:rPr>
        <w:fldChar w:fldCharType="separate"/>
      </w:r>
      <w:r>
        <w:rPr>
          <w:rFonts w:hint="eastAsia" w:ascii="宋体" w:hAnsi="宋体" w:eastAsia="宋体" w:cs="宋体"/>
          <w:lang w:eastAsia="zh-CN"/>
        </w:rPr>
        <w:t>esg@ganfenglithium.com</w:t>
      </w:r>
      <w:r>
        <w:rPr>
          <w:rFonts w:hint="eastAsia" w:ascii="宋体" w:hAnsi="宋体" w:eastAsia="宋体" w:cs="宋体"/>
          <w:lang w:eastAsia="zh-CN"/>
        </w:rPr>
        <w:fldChar w:fldCharType="end"/>
      </w:r>
      <w:r>
        <w:rPr>
          <w:rFonts w:hint="eastAsia" w:ascii="宋体" w:hAnsi="宋体" w:eastAsia="宋体" w:cs="宋体"/>
          <w:lang w:eastAsia="zh-CN"/>
        </w:rPr>
        <w:br w:type="textWrapping"/>
      </w:r>
      <w:r>
        <w:rPr>
          <w:rFonts w:hint="eastAsia" w:ascii="宋体" w:hAnsi="宋体" w:eastAsia="宋体" w:cs="宋体"/>
          <w:lang w:eastAsia="zh-CN"/>
        </w:rPr>
        <w:br w:type="textWrapping"/>
      </w:r>
      <w:r>
        <w:rPr>
          <w:rFonts w:hint="eastAsia" w:ascii="宋体" w:hAnsi="宋体" w:eastAsia="宋体" w:cs="宋体"/>
          <w:lang w:eastAsia="zh-CN"/>
        </w:rPr>
        <w:t>匿名申诉电话：+86 0790-6411129，15607900807</w:t>
      </w:r>
      <w:r>
        <w:rPr>
          <w:rFonts w:hint="eastAsia" w:ascii="宋体" w:hAnsi="宋体" w:eastAsia="宋体" w:cs="宋体"/>
          <w:lang w:eastAsia="zh-CN"/>
        </w:rPr>
        <w:br w:type="textWrapping"/>
      </w:r>
      <w:r>
        <w:rPr>
          <w:rFonts w:hint="eastAsia" w:ascii="宋体" w:hAnsi="宋体" w:eastAsia="宋体" w:cs="宋体"/>
          <w:lang w:eastAsia="zh-CN"/>
        </w:rPr>
        <w:t>匿名申诉邮箱：</w:t>
      </w:r>
      <w:r>
        <w:rPr>
          <w:rFonts w:hint="eastAsia" w:ascii="宋体" w:hAnsi="宋体" w:eastAsia="宋体" w:cs="宋体"/>
          <w:lang w:eastAsia="zh-CN"/>
        </w:rPr>
        <w:fldChar w:fldCharType="begin"/>
      </w:r>
      <w:r>
        <w:rPr>
          <w:rFonts w:hint="eastAsia" w:ascii="宋体" w:hAnsi="宋体" w:eastAsia="宋体" w:cs="宋体"/>
          <w:lang w:eastAsia="zh-CN"/>
        </w:rPr>
        <w:instrText xml:space="preserve"> HYPERLINK "mailto:shenji@ganfenglithium.com" </w:instrText>
      </w:r>
      <w:r>
        <w:rPr>
          <w:rFonts w:hint="eastAsia" w:ascii="宋体" w:hAnsi="宋体" w:eastAsia="宋体" w:cs="宋体"/>
          <w:lang w:eastAsia="zh-CN"/>
        </w:rPr>
        <w:fldChar w:fldCharType="separate"/>
      </w:r>
      <w:r>
        <w:rPr>
          <w:rFonts w:hint="eastAsia" w:ascii="宋体" w:hAnsi="宋体" w:eastAsia="宋体" w:cs="宋体"/>
          <w:lang w:eastAsia="zh-CN"/>
        </w:rPr>
        <w:t>shenji@ganfenglithium.com</w:t>
      </w:r>
      <w:r>
        <w:rPr>
          <w:rFonts w:hint="eastAsia" w:ascii="宋体" w:hAnsi="宋体" w:eastAsia="宋体" w:cs="宋体"/>
          <w:lang w:eastAsia="zh-CN"/>
        </w:rPr>
        <w:fldChar w:fldCharType="end"/>
      </w:r>
      <w:r>
        <w:rPr>
          <w:rFonts w:hint="eastAsia" w:ascii="宋体" w:hAnsi="宋体" w:eastAsia="宋体" w:cs="宋体"/>
          <w:lang w:eastAsia="zh-CN"/>
        </w:rPr>
        <w:br w:type="textWrapping"/>
      </w:r>
      <w:r>
        <w:rPr>
          <w:rFonts w:hint="eastAsia" w:ascii="宋体" w:hAnsi="宋体" w:eastAsia="宋体" w:cs="宋体"/>
          <w:lang w:eastAsia="zh-CN"/>
        </w:rPr>
        <w:br w:type="textWrapping"/>
      </w:r>
      <w:r>
        <w:rPr>
          <w:rFonts w:hint="eastAsia" w:ascii="宋体" w:hAnsi="宋体" w:eastAsia="宋体" w:cs="宋体"/>
          <w:lang w:eastAsia="zh-CN"/>
        </w:rPr>
        <w:t>赣锋锂业鼓励通过对话商定申诉的解决办法，如需裁定或其他需求，也可通过第三方申诉渠道中国五矿化工进出口商会 CCCMC进行。</w:t>
      </w:r>
      <w:r>
        <w:rPr>
          <w:rFonts w:hint="eastAsia" w:ascii="宋体" w:hAnsi="宋体" w:eastAsia="宋体" w:cs="宋体"/>
          <w:lang w:eastAsia="zh-CN"/>
        </w:rPr>
        <w:br w:type="textWrapping"/>
      </w:r>
      <w:r>
        <w:rPr>
          <w:rFonts w:hint="eastAsia" w:ascii="宋体" w:hAnsi="宋体" w:eastAsia="宋体" w:cs="宋体"/>
          <w:lang w:eastAsia="zh-CN"/>
        </w:rPr>
        <w:t>第三方申诉电话：（010）85692856/2635</w:t>
      </w:r>
      <w:r>
        <w:rPr>
          <w:rFonts w:hint="eastAsia" w:ascii="宋体" w:hAnsi="宋体" w:eastAsia="宋体" w:cs="宋体"/>
          <w:lang w:eastAsia="zh-CN"/>
        </w:rPr>
        <w:br w:type="textWrapping"/>
      </w:r>
      <w:r>
        <w:rPr>
          <w:rFonts w:hint="eastAsia" w:ascii="宋体" w:hAnsi="宋体" w:eastAsia="宋体" w:cs="宋体"/>
          <w:lang w:eastAsia="zh-CN"/>
        </w:rPr>
        <w:t>第三方申诉邮箱：rbc@cccmc.org.cn</w:t>
      </w:r>
    </w:p>
    <w:p w14:paraId="46FBBB5F">
      <w:pPr>
        <w:spacing w:line="360" w:lineRule="auto"/>
        <w:rPr>
          <w:rFonts w:hint="eastAsia" w:ascii="宋体" w:hAnsi="宋体" w:eastAsia="宋体" w:cs="宋体"/>
          <w:lang w:eastAsia="zh-CN"/>
        </w:rPr>
      </w:pPr>
      <w:r>
        <w:rPr>
          <w:rFonts w:hint="eastAsia" w:ascii="宋体" w:hAnsi="宋体" w:eastAsia="宋体" w:cs="宋体"/>
          <w:lang w:eastAsia="zh-CN"/>
        </w:rPr>
        <w:t>地址：北京市朝阳区朝外大街22号泛利大厦17层</w:t>
      </w:r>
    </w:p>
    <w:p w14:paraId="6010C35A">
      <w:pPr>
        <w:spacing w:line="360" w:lineRule="auto"/>
        <w:rPr>
          <w:rFonts w:hint="eastAsia" w:ascii="宋体" w:hAnsi="宋体" w:eastAsia="宋体" w:cs="宋体"/>
          <w:lang w:eastAsia="zh-CN"/>
        </w:rPr>
      </w:pPr>
    </w:p>
    <w:p w14:paraId="711AA68E">
      <w:pPr>
        <w:spacing w:line="360" w:lineRule="auto"/>
        <w:rPr>
          <w:rFonts w:hint="eastAsia" w:ascii="宋体" w:hAnsi="宋体" w:eastAsia="宋体" w:cs="宋体"/>
          <w:b/>
          <w:bCs/>
          <w:lang w:eastAsia="zh-CN"/>
        </w:rPr>
      </w:pPr>
      <w:r>
        <w:rPr>
          <w:rFonts w:hint="eastAsia" w:ascii="宋体" w:hAnsi="宋体" w:eastAsia="宋体" w:cs="宋体"/>
          <w:b/>
          <w:bCs/>
          <w:lang w:eastAsia="zh-CN"/>
        </w:rPr>
        <w:t>赣锋可接受满足以下条件的申诉：</w:t>
      </w:r>
    </w:p>
    <w:p w14:paraId="24C7B235">
      <w:pPr>
        <w:spacing w:line="360" w:lineRule="auto"/>
        <w:rPr>
          <w:rFonts w:hint="eastAsia" w:ascii="宋体" w:hAnsi="宋体" w:eastAsia="宋体" w:cs="宋体"/>
          <w:lang w:eastAsia="zh-CN"/>
        </w:rPr>
      </w:pPr>
      <w:r>
        <w:rPr>
          <w:rFonts w:hint="eastAsia" w:ascii="宋体" w:hAnsi="宋体" w:eastAsia="宋体" w:cs="宋体"/>
          <w:lang w:eastAsia="zh-CN"/>
        </w:rPr>
        <w:t>1与赣锋锂业的供应链尽责管理，包括任何已识别的风险相关；</w:t>
      </w:r>
      <w:r>
        <w:rPr>
          <w:rFonts w:hint="eastAsia" w:ascii="宋体" w:hAnsi="宋体" w:eastAsia="宋体" w:cs="宋体"/>
          <w:lang w:eastAsia="zh-CN"/>
        </w:rPr>
        <w:br w:type="textWrapping"/>
      </w:r>
      <w:r>
        <w:rPr>
          <w:rFonts w:hint="eastAsia" w:ascii="宋体" w:hAnsi="宋体" w:eastAsia="宋体" w:cs="宋体"/>
          <w:lang w:eastAsia="zh-CN"/>
        </w:rPr>
        <w:t>2.指出尽责管理系统的缺陷、不一致或不足；</w:t>
      </w:r>
      <w:r>
        <w:rPr>
          <w:rFonts w:hint="eastAsia" w:ascii="宋体" w:hAnsi="宋体" w:eastAsia="宋体" w:cs="宋体"/>
          <w:lang w:eastAsia="zh-CN"/>
        </w:rPr>
        <w:br w:type="textWrapping"/>
      </w:r>
      <w:r>
        <w:rPr>
          <w:rFonts w:hint="eastAsia" w:ascii="宋体" w:hAnsi="宋体" w:eastAsia="宋体" w:cs="宋体"/>
          <w:lang w:eastAsia="zh-CN"/>
        </w:rPr>
        <w:t>3.包括足够的客观证据以合理地支持提交申诉人员的指控；</w:t>
      </w:r>
      <w:r>
        <w:rPr>
          <w:rFonts w:hint="eastAsia" w:ascii="宋体" w:hAnsi="宋体" w:eastAsia="宋体" w:cs="宋体"/>
          <w:lang w:eastAsia="zh-CN"/>
        </w:rPr>
        <w:br w:type="textWrapping"/>
      </w:r>
      <w:r>
        <w:rPr>
          <w:rFonts w:hint="eastAsia" w:ascii="宋体" w:hAnsi="宋体" w:eastAsia="宋体" w:cs="宋体"/>
          <w:lang w:eastAsia="zh-CN"/>
        </w:rPr>
        <w:t>4.违反《</w:t>
      </w:r>
      <w:r>
        <w:rPr>
          <w:rFonts w:hint="eastAsia" w:ascii="宋体" w:hAnsi="宋体" w:eastAsia="宋体" w:cs="宋体"/>
          <w:lang w:val="en-US" w:eastAsia="zh-CN"/>
        </w:rPr>
        <w:t>赣锋锂业</w:t>
      </w:r>
      <w:bookmarkStart w:id="96" w:name="_GoBack"/>
      <w:bookmarkEnd w:id="96"/>
      <w:r>
        <w:rPr>
          <w:rFonts w:hint="eastAsia" w:ascii="宋体" w:hAnsi="宋体" w:eastAsia="宋体" w:cs="宋体"/>
          <w:lang w:eastAsia="zh-CN"/>
        </w:rPr>
        <w:t>供应商行为准则》的要求；</w:t>
      </w:r>
    </w:p>
    <w:p w14:paraId="08E2998C">
      <w:pPr>
        <w:spacing w:line="360" w:lineRule="auto"/>
        <w:rPr>
          <w:rFonts w:hint="eastAsia" w:ascii="宋体" w:hAnsi="宋体" w:eastAsia="宋体" w:cs="宋体"/>
          <w:lang w:eastAsia="zh-CN"/>
        </w:rPr>
      </w:pPr>
    </w:p>
    <w:p w14:paraId="2A09132E">
      <w:pPr>
        <w:spacing w:after="120" w:line="360" w:lineRule="auto"/>
        <w:ind w:firstLine="480"/>
        <w:rPr>
          <w:rFonts w:hint="eastAsia" w:ascii="宋体" w:hAnsi="宋体" w:eastAsia="宋体" w:cs="宋体"/>
          <w:lang w:val="en-US" w:eastAsia="zh-CN"/>
        </w:rPr>
      </w:pPr>
      <w:r>
        <w:rPr>
          <w:rFonts w:hint="eastAsia" w:ascii="宋体" w:hAnsi="宋体" w:eastAsia="宋体" w:cs="宋体"/>
          <w:lang w:eastAsia="zh-CN"/>
        </w:rPr>
        <w:t>本报告涵盖的时间段内，</w:t>
      </w:r>
      <w:r>
        <w:rPr>
          <w:rFonts w:hint="eastAsia" w:ascii="宋体" w:hAnsi="宋体" w:eastAsia="宋体" w:cs="宋体"/>
          <w:b w:val="0"/>
          <w:sz w:val="24"/>
        </w:rPr>
        <w:t>公司通过公开申诉渠道未收到任何与</w:t>
      </w:r>
      <w:r>
        <w:rPr>
          <w:rFonts w:hint="eastAsia" w:ascii="宋体" w:hAnsi="宋体" w:eastAsia="宋体" w:cs="宋体"/>
          <w:b w:val="0"/>
          <w:sz w:val="24"/>
          <w:lang w:val="en-US" w:eastAsia="zh-CN"/>
        </w:rPr>
        <w:t>江西赣锋锂业（</w:t>
      </w:r>
      <w:r>
        <w:rPr>
          <w:rFonts w:hint="eastAsia" w:ascii="宋体" w:hAnsi="宋体" w:eastAsia="宋体" w:cs="宋体"/>
          <w:b w:val="0"/>
          <w:sz w:val="24"/>
        </w:rPr>
        <w:t>马洪工厂</w:t>
      </w:r>
      <w:r>
        <w:rPr>
          <w:rFonts w:hint="eastAsia" w:ascii="宋体" w:hAnsi="宋体" w:eastAsia="宋体" w:cs="宋体"/>
          <w:b w:val="0"/>
          <w:sz w:val="24"/>
          <w:lang w:eastAsia="zh-CN"/>
        </w:rPr>
        <w:t>）</w:t>
      </w:r>
      <w:r>
        <w:rPr>
          <w:rFonts w:hint="eastAsia" w:ascii="宋体" w:hAnsi="宋体" w:eastAsia="宋体" w:cs="宋体"/>
          <w:b w:val="0"/>
          <w:sz w:val="24"/>
        </w:rPr>
        <w:t>矿产供应链尽责管理相关的申诉，申诉事件处理0起。</w:t>
      </w:r>
    </w:p>
    <w:p w14:paraId="0E7F7AB1">
      <w:pPr>
        <w:pStyle w:val="2"/>
        <w:spacing w:line="360" w:lineRule="auto"/>
        <w:rPr>
          <w:rFonts w:hint="eastAsia" w:ascii="宋体" w:hAnsi="宋体" w:eastAsia="宋体" w:cs="宋体"/>
          <w:lang w:eastAsia="zh-CN"/>
        </w:rPr>
      </w:pPr>
      <w:bookmarkStart w:id="95" w:name="_Toc32111"/>
      <w:r>
        <w:rPr>
          <w:rFonts w:hint="eastAsia" w:ascii="宋体" w:hAnsi="宋体" w:eastAsia="宋体" w:cs="宋体"/>
          <w:b w:val="0"/>
          <w:bCs w:val="0"/>
          <w:lang w:val="en-US" w:eastAsia="zh-CN"/>
        </w:rPr>
        <w:t xml:space="preserve">12 </w:t>
      </w:r>
      <w:r>
        <w:rPr>
          <w:rFonts w:hint="eastAsia" w:ascii="宋体" w:hAnsi="宋体" w:eastAsia="宋体" w:cs="宋体"/>
          <w:lang w:val="en-US" w:eastAsia="zh-CN"/>
        </w:rPr>
        <w:t>EITI要求</w:t>
      </w:r>
      <w:bookmarkEnd w:id="95"/>
    </w:p>
    <w:p w14:paraId="203DF803">
      <w:pPr>
        <w:numPr>
          <w:ilvl w:val="-1"/>
          <w:numId w:val="0"/>
        </w:numPr>
        <w:spacing w:line="360" w:lineRule="auto"/>
        <w:ind w:firstLine="420"/>
        <w:rPr>
          <w:rFonts w:hint="eastAsia" w:ascii="宋体" w:hAnsi="宋体" w:eastAsia="宋体" w:cs="宋体"/>
          <w:lang w:eastAsia="zh-CN"/>
        </w:rPr>
      </w:pPr>
      <w:r>
        <w:rPr>
          <w:rFonts w:hint="eastAsia" w:ascii="宋体" w:hAnsi="宋体" w:eastAsia="宋体" w:cs="宋体"/>
          <w:b w:val="0"/>
          <w:sz w:val="24"/>
        </w:rPr>
        <w:t>公司坚定支持所在国政府制定或认可的透明度与信息公开要求，如《采掘业透明度行动计划》（EITI）提出的相关原则及标准，并已在《负责任矿产供应链尽责管理控制程序》中声明：公司向上游供应商提出遵守EITI的要求。</w:t>
      </w:r>
    </w:p>
    <w:p w14:paraId="47410EEB">
      <w:pPr>
        <w:spacing w:line="360" w:lineRule="auto"/>
        <w:rPr>
          <w:rFonts w:hint="eastAsia" w:ascii="宋体" w:hAnsi="宋体" w:eastAsia="宋体" w:cs="宋体"/>
          <w:lang w:eastAsia="zh-CN"/>
        </w:rPr>
      </w:pPr>
    </w:p>
    <w:bookmarkEnd w:id="90"/>
    <w:p w14:paraId="281329C9">
      <w:pPr>
        <w:spacing w:line="360" w:lineRule="auto"/>
        <w:ind w:left="4200"/>
        <w:rPr>
          <w:rFonts w:hint="eastAsia" w:ascii="宋体" w:hAnsi="宋体" w:eastAsia="宋体" w:cs="宋体"/>
          <w:lang w:eastAsia="zh-CN"/>
        </w:rPr>
      </w:pPr>
      <w:r>
        <w:rPr>
          <w:rFonts w:hint="eastAsia" w:ascii="宋体" w:hAnsi="宋体" w:eastAsia="宋体" w:cs="宋体"/>
          <w:lang w:eastAsia="zh-CN"/>
        </w:rPr>
        <w:t>发布日期：202</w:t>
      </w:r>
      <w:r>
        <w:rPr>
          <w:rFonts w:hint="eastAsia" w:ascii="宋体" w:hAnsi="宋体" w:eastAsia="宋体" w:cs="宋体"/>
          <w:lang w:val="en-US" w:eastAsia="zh-CN"/>
        </w:rPr>
        <w:t>6</w:t>
      </w:r>
      <w:r>
        <w:rPr>
          <w:rFonts w:hint="eastAsia" w:ascii="宋体" w:hAnsi="宋体" w:eastAsia="宋体" w:cs="宋体"/>
          <w:lang w:eastAsia="zh-CN"/>
        </w:rPr>
        <w:t>年 1</w:t>
      </w:r>
      <w:r>
        <w:rPr>
          <w:rFonts w:hint="eastAsia" w:ascii="宋体" w:hAnsi="宋体" w:eastAsia="宋体" w:cs="宋体"/>
          <w:lang w:val="en-US" w:eastAsia="zh-CN"/>
        </w:rPr>
        <w:t>1</w:t>
      </w:r>
      <w:r>
        <w:rPr>
          <w:rFonts w:hint="eastAsia" w:ascii="宋体" w:hAnsi="宋体" w:eastAsia="宋体" w:cs="宋体"/>
          <w:lang w:eastAsia="zh-CN"/>
        </w:rPr>
        <w:t xml:space="preserve"> 月 </w:t>
      </w:r>
      <w:r>
        <w:rPr>
          <w:rFonts w:hint="eastAsia" w:ascii="宋体" w:hAnsi="宋体" w:eastAsia="宋体" w:cs="宋体"/>
          <w:lang w:val="en-US" w:eastAsia="zh-CN"/>
        </w:rPr>
        <w:t>2</w:t>
      </w:r>
      <w:r>
        <w:rPr>
          <w:rFonts w:hint="eastAsia" w:ascii="宋体" w:hAnsi="宋体" w:eastAsia="宋体" w:cs="宋体"/>
          <w:lang w:eastAsia="zh-CN"/>
        </w:rPr>
        <w:t xml:space="preserve"> 日</w:t>
      </w:r>
    </w:p>
    <w:sectPr>
      <w:headerReference r:id="rId4" w:type="default"/>
      <w:footerReference r:id="rId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95091266"/>
      <w:docPartObj>
        <w:docPartGallery w:val="autotext"/>
      </w:docPartObj>
    </w:sdtPr>
    <w:sdtEndPr>
      <w:rPr>
        <w:rFonts w:ascii="宋体" w:hAnsi="宋体" w:eastAsia="宋体"/>
        <w:sz w:val="20"/>
        <w:szCs w:val="20"/>
      </w:rPr>
    </w:sdtEndPr>
    <w:sdtContent>
      <w:p w14:paraId="33588C23">
        <w:pPr>
          <w:pStyle w:val="7"/>
          <w:jc w:val="center"/>
          <w:rPr>
            <w:rFonts w:hint="eastAsia" w:ascii="宋体" w:hAnsi="宋体" w:eastAsia="宋体"/>
            <w:sz w:val="20"/>
            <w:szCs w:val="20"/>
          </w:rPr>
        </w:pPr>
        <w:r>
          <w:rPr>
            <w:rFonts w:hint="eastAsia" w:ascii="宋体" w:hAnsi="宋体" w:eastAsia="宋体"/>
            <w:sz w:val="20"/>
            <w:szCs w:val="20"/>
          </w:rPr>
          <w:t>第</w:t>
        </w:r>
        <w:r>
          <w:rPr>
            <w:rFonts w:ascii="宋体" w:hAnsi="宋体" w:eastAsia="宋体"/>
            <w:sz w:val="20"/>
            <w:szCs w:val="20"/>
          </w:rPr>
          <w:fldChar w:fldCharType="begin"/>
        </w:r>
        <w:r>
          <w:rPr>
            <w:rFonts w:ascii="宋体" w:hAnsi="宋体" w:eastAsia="宋体"/>
            <w:sz w:val="20"/>
            <w:szCs w:val="20"/>
          </w:rPr>
          <w:instrText xml:space="preserve">PAGE   \* MERGEFORMAT</w:instrText>
        </w:r>
        <w:r>
          <w:rPr>
            <w:rFonts w:ascii="宋体" w:hAnsi="宋体" w:eastAsia="宋体"/>
            <w:sz w:val="20"/>
            <w:szCs w:val="20"/>
          </w:rPr>
          <w:fldChar w:fldCharType="separate"/>
        </w:r>
        <w:r>
          <w:rPr>
            <w:rFonts w:ascii="宋体" w:hAnsi="宋体" w:eastAsia="宋体"/>
            <w:sz w:val="20"/>
            <w:szCs w:val="20"/>
            <w:lang w:val="zh-CN"/>
          </w:rPr>
          <w:t>2</w:t>
        </w:r>
        <w:r>
          <w:rPr>
            <w:rFonts w:ascii="宋体" w:hAnsi="宋体" w:eastAsia="宋体"/>
            <w:sz w:val="20"/>
            <w:szCs w:val="20"/>
          </w:rPr>
          <w:fldChar w:fldCharType="end"/>
        </w:r>
        <w:r>
          <w:rPr>
            <w:rFonts w:hint="eastAsia" w:ascii="宋体" w:hAnsi="宋体" w:eastAsia="宋体"/>
            <w:sz w:val="20"/>
            <w:szCs w:val="20"/>
          </w:rPr>
          <w:t>页</w:t>
        </w:r>
      </w:p>
    </w:sdtContent>
  </w:sdt>
  <w:p w14:paraId="47D20C5E">
    <w:pPr>
      <w:pStyle w:val="7"/>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r>
        <w:separator/>
      </w:r>
    </w:p>
  </w:footnote>
  <w:footnote w:type="continuationSeparator" w:id="5">
    <w:p>
      <w:r>
        <w:continuationSeparator/>
      </w:r>
    </w:p>
  </w:footnote>
  <w:footnote w:id="0">
    <w:p w14:paraId="2F3E75F4">
      <w:pPr>
        <w:pStyle w:val="10"/>
        <w:snapToGrid w:val="0"/>
      </w:pPr>
      <w:r>
        <w:rPr>
          <w:rStyle w:val="21"/>
        </w:rPr>
        <w:footnoteRef/>
      </w:r>
      <w:r>
        <w:t xml:space="preserve"> </w:t>
      </w:r>
      <w:r>
        <w:rPr>
          <w:rFonts w:hint="eastAsia"/>
        </w:rPr>
        <w:t>赣锋锂业召开2026年度供应商ESG培训大会</w:t>
      </w:r>
    </w:p>
    <w:p w14:paraId="5F955D90">
      <w:pPr>
        <w:pStyle w:val="10"/>
        <w:snapToGrid w:val="0"/>
      </w:pPr>
      <w:r>
        <w:rPr>
          <w:rFonts w:hint="eastAsia"/>
        </w:rPr>
        <w:t>https://mp.weixin.qq.com/s/dZL6zIswSsLGhLvmaOHkhw?mpshare=1&amp;scene=1&amp;srcid=0825crRbXsDbJf31OqBakuOD&amp;sharer_shareinfo=9a58972ebbea839875566adc6a471567&amp;sharer_shareinfo_first=9a58972ebbea839875566adc6a471567#rd</w:t>
      </w:r>
    </w:p>
  </w:footnote>
  <w:footnote w:id="1">
    <w:p w14:paraId="00CF7B3A">
      <w:pPr>
        <w:pStyle w:val="10"/>
        <w:snapToGrid w:val="0"/>
      </w:pPr>
      <w:r>
        <w:rPr>
          <w:rStyle w:val="21"/>
        </w:rPr>
        <w:footnoteRef/>
      </w:r>
      <w:r>
        <w:t xml:space="preserve"> </w:t>
      </w:r>
      <w:r>
        <w:rPr>
          <w:rFonts w:hint="eastAsia" w:ascii="宋体" w:hAnsi="宋体" w:eastAsia="宋体" w:cs="宋体"/>
        </w:rPr>
        <w:fldChar w:fldCharType="begin"/>
      </w:r>
      <w:r>
        <w:rPr>
          <w:rFonts w:hint="eastAsia" w:ascii="宋体" w:hAnsi="宋体" w:eastAsia="宋体" w:cs="宋体"/>
        </w:rPr>
        <w:instrText xml:space="preserve"> HYPERLINK "https://www.ganfenglithium.com/esg3.html" </w:instrText>
      </w:r>
      <w:r>
        <w:rPr>
          <w:rFonts w:hint="eastAsia" w:ascii="宋体" w:hAnsi="宋体" w:eastAsia="宋体" w:cs="宋体"/>
        </w:rPr>
        <w:fldChar w:fldCharType="separate"/>
      </w:r>
      <w:r>
        <w:rPr>
          <w:rStyle w:val="19"/>
          <w:rFonts w:hint="eastAsia" w:ascii="宋体" w:hAnsi="宋体" w:eastAsia="宋体" w:cs="宋体"/>
          <w:color w:val="auto"/>
          <w:lang w:eastAsia="zh-CN"/>
        </w:rPr>
        <w:t>https://www.ganfenglithium.com/esg3.html</w:t>
      </w:r>
      <w:r>
        <w:rPr>
          <w:rStyle w:val="19"/>
          <w:rFonts w:hint="eastAsia" w:ascii="宋体" w:hAnsi="宋体" w:eastAsia="宋体" w:cs="宋体"/>
          <w:color w:val="auto"/>
          <w:lang w:eastAsia="zh-CN"/>
        </w:rPr>
        <w:fldChar w:fldCharType="end"/>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43665">
    <w:pPr>
      <w:pStyle w:val="8"/>
      <w:jc w:val="right"/>
      <w:rPr>
        <w:rFonts w:hint="eastAsia"/>
        <w:color w:val="808080" w:themeColor="text1" w:themeTint="80"/>
        <w14:textFill>
          <w14:solidFill>
            <w14:schemeClr w14:val="tx1">
              <w14:lumMod w14:val="50000"/>
              <w14:lumOff w14:val="50000"/>
            </w14:schemeClr>
          </w14:solidFill>
        </w14:textFill>
      </w:rPr>
    </w:pPr>
    <w:r>
      <w:rPr>
        <w:rFonts w:hint="eastAsia"/>
        <w:color w:val="808080" w:themeColor="text1" w:themeTint="80"/>
        <w14:textFill>
          <w14:solidFill>
            <w14:schemeClr w14:val="tx1">
              <w14:lumMod w14:val="50000"/>
              <w14:lumOff w14:val="50000"/>
            </w14:schemeClr>
          </w14:solidFill>
        </w14:textFill>
      </w:rPr>
      <w:drawing>
        <wp:inline distT="0" distB="0" distL="0" distR="0">
          <wp:extent cx="1675765" cy="346710"/>
          <wp:effectExtent l="0" t="0" r="635" b="0"/>
          <wp:docPr id="19311779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177917" name="图片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701520" cy="351914"/>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CBD28A3"/>
    <w:multiLevelType w:val="singleLevel"/>
    <w:tmpl w:val="3CBD28A3"/>
    <w:lvl w:ilvl="0" w:tentative="0">
      <w:start w:val="1"/>
      <w:numFmt w:val="bullet"/>
      <w:lvlText w:val=""/>
      <w:lvlJc w:val="left"/>
      <w:pPr>
        <w:ind w:left="420" w:hanging="420"/>
      </w:pPr>
      <w:rPr>
        <w:rFonts w:hint="default" w:ascii="Wingdings" w:hAnsi="Wingdings"/>
      </w:rPr>
    </w:lvl>
  </w:abstractNum>
  <w:abstractNum w:abstractNumId="1">
    <w:nsid w:val="519714B0"/>
    <w:multiLevelType w:val="singleLevel"/>
    <w:tmpl w:val="519714B0"/>
    <w:lvl w:ilvl="0" w:tentative="0">
      <w:start w:val="1"/>
      <w:numFmt w:val="bullet"/>
      <w:lvlText w:val=""/>
      <w:lvlJc w:val="left"/>
      <w:pPr>
        <w:tabs>
          <w:tab w:val="left" w:pos="420"/>
        </w:tabs>
        <w:ind w:left="840" w:hanging="420"/>
      </w:pPr>
      <w:rPr>
        <w:rFonts w:hint="default" w:ascii="Wingdings" w:hAnsi="Wingdings"/>
      </w:rPr>
    </w:lvl>
  </w:abstractNum>
  <w:abstractNum w:abstractNumId="2">
    <w:nsid w:val="6D29E701"/>
    <w:multiLevelType w:val="multilevel"/>
    <w:tmpl w:val="6D29E701"/>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tabs>
          <w:tab w:val="left" w:pos="840"/>
        </w:tabs>
        <w:ind w:left="840" w:leftChars="0" w:hanging="420" w:firstLineChars="0"/>
      </w:pPr>
      <w:rPr>
        <w:rFonts w:hint="default" w:ascii="Wingdings" w:hAnsi="Wingdings"/>
      </w:rPr>
    </w:lvl>
    <w:lvl w:ilvl="2" w:tentative="0">
      <w:start w:val="1"/>
      <w:numFmt w:val="bullet"/>
      <w:lvlText w:val=""/>
      <w:lvlJc w:val="left"/>
      <w:pPr>
        <w:tabs>
          <w:tab w:val="left" w:pos="1260"/>
        </w:tabs>
        <w:ind w:left="1260" w:leftChars="0" w:hanging="420" w:firstLineChars="0"/>
      </w:pPr>
      <w:rPr>
        <w:rFonts w:hint="default" w:ascii="Wingdings" w:hAnsi="Wingdings"/>
      </w:rPr>
    </w:lvl>
    <w:lvl w:ilvl="3" w:tentative="0">
      <w:start w:val="1"/>
      <w:numFmt w:val="bullet"/>
      <w:lvlText w:val=""/>
      <w:lvlJc w:val="left"/>
      <w:pPr>
        <w:tabs>
          <w:tab w:val="left" w:pos="1680"/>
        </w:tabs>
        <w:ind w:left="1680" w:leftChars="0" w:hanging="420" w:firstLineChars="0"/>
      </w:pPr>
      <w:rPr>
        <w:rFonts w:hint="default" w:ascii="Wingdings" w:hAnsi="Wingdings"/>
      </w:rPr>
    </w:lvl>
    <w:lvl w:ilvl="4" w:tentative="0">
      <w:start w:val="1"/>
      <w:numFmt w:val="bullet"/>
      <w:lvlText w:val=""/>
      <w:lvlJc w:val="left"/>
      <w:pPr>
        <w:tabs>
          <w:tab w:val="left" w:pos="2100"/>
        </w:tabs>
        <w:ind w:left="2100" w:leftChars="0" w:hanging="420" w:firstLineChars="0"/>
      </w:pPr>
      <w:rPr>
        <w:rFonts w:hint="default" w:ascii="Wingdings" w:hAnsi="Wingdings"/>
      </w:rPr>
    </w:lvl>
    <w:lvl w:ilvl="5" w:tentative="0">
      <w:start w:val="1"/>
      <w:numFmt w:val="bullet"/>
      <w:lvlText w:val=""/>
      <w:lvlJc w:val="left"/>
      <w:pPr>
        <w:tabs>
          <w:tab w:val="left" w:pos="2520"/>
        </w:tabs>
        <w:ind w:left="2520" w:leftChars="0" w:hanging="420" w:firstLineChars="0"/>
      </w:pPr>
      <w:rPr>
        <w:rFonts w:hint="default" w:ascii="Wingdings" w:hAnsi="Wingdings"/>
      </w:rPr>
    </w:lvl>
    <w:lvl w:ilvl="6" w:tentative="0">
      <w:start w:val="1"/>
      <w:numFmt w:val="bullet"/>
      <w:lvlText w:val=""/>
      <w:lvlJc w:val="left"/>
      <w:pPr>
        <w:tabs>
          <w:tab w:val="left" w:pos="2940"/>
        </w:tabs>
        <w:ind w:left="2940" w:leftChars="0" w:hanging="420" w:firstLineChars="0"/>
      </w:pPr>
      <w:rPr>
        <w:rFonts w:hint="default" w:ascii="Wingdings" w:hAnsi="Wingdings"/>
      </w:rPr>
    </w:lvl>
    <w:lvl w:ilvl="7" w:tentative="0">
      <w:start w:val="1"/>
      <w:numFmt w:val="bullet"/>
      <w:lvlText w:val=""/>
      <w:lvlJc w:val="left"/>
      <w:pPr>
        <w:tabs>
          <w:tab w:val="left" w:pos="3360"/>
        </w:tabs>
        <w:ind w:left="3360" w:leftChars="0" w:hanging="420" w:firstLineChars="0"/>
      </w:pPr>
      <w:rPr>
        <w:rFonts w:hint="default" w:ascii="Wingdings" w:hAnsi="Wingdings"/>
      </w:rPr>
    </w:lvl>
    <w:lvl w:ilvl="8" w:tentative="0">
      <w:start w:val="1"/>
      <w:numFmt w:val="bullet"/>
      <w:lvlText w:val=""/>
      <w:lvlJc w:val="left"/>
      <w:pPr>
        <w:tabs>
          <w:tab w:val="left" w:pos="3780"/>
        </w:tabs>
        <w:ind w:left="3780" w:leftChars="0" w:hanging="420" w:firstLineChars="0"/>
      </w:pPr>
      <w:rPr>
        <w:rFonts w:hint="default" w:ascii="Wingdings" w:hAnsi="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4"/>
    <w:footnote w:id="5"/>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7CD"/>
    <w:rsid w:val="00007431"/>
    <w:rsid w:val="00011FA8"/>
    <w:rsid w:val="0007042E"/>
    <w:rsid w:val="00072B18"/>
    <w:rsid w:val="000E059C"/>
    <w:rsid w:val="001117DA"/>
    <w:rsid w:val="001743CE"/>
    <w:rsid w:val="001752BA"/>
    <w:rsid w:val="0018176E"/>
    <w:rsid w:val="001B34BE"/>
    <w:rsid w:val="001B7B80"/>
    <w:rsid w:val="001C2D02"/>
    <w:rsid w:val="001C2D30"/>
    <w:rsid w:val="001C505D"/>
    <w:rsid w:val="001F2E79"/>
    <w:rsid w:val="002122FB"/>
    <w:rsid w:val="002203BD"/>
    <w:rsid w:val="002356AA"/>
    <w:rsid w:val="002633FA"/>
    <w:rsid w:val="00285C30"/>
    <w:rsid w:val="00294BA5"/>
    <w:rsid w:val="002A4334"/>
    <w:rsid w:val="002C4ACA"/>
    <w:rsid w:val="003175EC"/>
    <w:rsid w:val="00343A5A"/>
    <w:rsid w:val="003502A6"/>
    <w:rsid w:val="00356B0C"/>
    <w:rsid w:val="0036443D"/>
    <w:rsid w:val="003810C6"/>
    <w:rsid w:val="003871EA"/>
    <w:rsid w:val="003A3782"/>
    <w:rsid w:val="003D2F32"/>
    <w:rsid w:val="003E2EA5"/>
    <w:rsid w:val="003E76C8"/>
    <w:rsid w:val="003E7981"/>
    <w:rsid w:val="0040011F"/>
    <w:rsid w:val="00413015"/>
    <w:rsid w:val="00415D4A"/>
    <w:rsid w:val="00443F8E"/>
    <w:rsid w:val="004605C2"/>
    <w:rsid w:val="004627EF"/>
    <w:rsid w:val="00464FC7"/>
    <w:rsid w:val="00466AB4"/>
    <w:rsid w:val="004752B7"/>
    <w:rsid w:val="00485FC6"/>
    <w:rsid w:val="0048655C"/>
    <w:rsid w:val="004D6E94"/>
    <w:rsid w:val="004E297B"/>
    <w:rsid w:val="005008CD"/>
    <w:rsid w:val="00507EFB"/>
    <w:rsid w:val="00510883"/>
    <w:rsid w:val="005259A7"/>
    <w:rsid w:val="0054578C"/>
    <w:rsid w:val="00555CD8"/>
    <w:rsid w:val="00561C51"/>
    <w:rsid w:val="00563720"/>
    <w:rsid w:val="00566A99"/>
    <w:rsid w:val="005850E1"/>
    <w:rsid w:val="00587794"/>
    <w:rsid w:val="005D2FEA"/>
    <w:rsid w:val="005D4346"/>
    <w:rsid w:val="005D7044"/>
    <w:rsid w:val="005E50B3"/>
    <w:rsid w:val="005E653B"/>
    <w:rsid w:val="006109C3"/>
    <w:rsid w:val="00674AC7"/>
    <w:rsid w:val="00680ED4"/>
    <w:rsid w:val="00682E82"/>
    <w:rsid w:val="006A2235"/>
    <w:rsid w:val="006D2A19"/>
    <w:rsid w:val="006D3EF1"/>
    <w:rsid w:val="00707295"/>
    <w:rsid w:val="0071329E"/>
    <w:rsid w:val="00720BD5"/>
    <w:rsid w:val="007309AE"/>
    <w:rsid w:val="007611CB"/>
    <w:rsid w:val="0079535B"/>
    <w:rsid w:val="007972AF"/>
    <w:rsid w:val="007975F8"/>
    <w:rsid w:val="007A0CBA"/>
    <w:rsid w:val="007A1AEF"/>
    <w:rsid w:val="007D2541"/>
    <w:rsid w:val="007F4A2C"/>
    <w:rsid w:val="007F4F47"/>
    <w:rsid w:val="00804232"/>
    <w:rsid w:val="008419AA"/>
    <w:rsid w:val="00854574"/>
    <w:rsid w:val="008545ED"/>
    <w:rsid w:val="008579FC"/>
    <w:rsid w:val="00881240"/>
    <w:rsid w:val="008902BB"/>
    <w:rsid w:val="008A1CC1"/>
    <w:rsid w:val="008A6552"/>
    <w:rsid w:val="008B42EF"/>
    <w:rsid w:val="008B7C13"/>
    <w:rsid w:val="008D3077"/>
    <w:rsid w:val="008D7C18"/>
    <w:rsid w:val="008F01FA"/>
    <w:rsid w:val="009057CD"/>
    <w:rsid w:val="00911E5E"/>
    <w:rsid w:val="00974D42"/>
    <w:rsid w:val="009A523A"/>
    <w:rsid w:val="009A724E"/>
    <w:rsid w:val="009A7BBC"/>
    <w:rsid w:val="009B2905"/>
    <w:rsid w:val="009B4AD0"/>
    <w:rsid w:val="009C0FF6"/>
    <w:rsid w:val="009E1C35"/>
    <w:rsid w:val="009F37DA"/>
    <w:rsid w:val="009F6C42"/>
    <w:rsid w:val="00A44780"/>
    <w:rsid w:val="00A720F0"/>
    <w:rsid w:val="00AC0520"/>
    <w:rsid w:val="00B23477"/>
    <w:rsid w:val="00B319BF"/>
    <w:rsid w:val="00B45A2B"/>
    <w:rsid w:val="00B730DB"/>
    <w:rsid w:val="00BC5B81"/>
    <w:rsid w:val="00BC7F96"/>
    <w:rsid w:val="00BE1B56"/>
    <w:rsid w:val="00BE20A5"/>
    <w:rsid w:val="00BF3EAF"/>
    <w:rsid w:val="00C0759D"/>
    <w:rsid w:val="00C13C0D"/>
    <w:rsid w:val="00C150FA"/>
    <w:rsid w:val="00C33FDB"/>
    <w:rsid w:val="00C54E25"/>
    <w:rsid w:val="00C707A5"/>
    <w:rsid w:val="00CB27EC"/>
    <w:rsid w:val="00CB2FCA"/>
    <w:rsid w:val="00CE3E66"/>
    <w:rsid w:val="00D0245F"/>
    <w:rsid w:val="00D07C25"/>
    <w:rsid w:val="00D44C64"/>
    <w:rsid w:val="00D4604C"/>
    <w:rsid w:val="00D52966"/>
    <w:rsid w:val="00D65E73"/>
    <w:rsid w:val="00D711F6"/>
    <w:rsid w:val="00D76CC5"/>
    <w:rsid w:val="00D83857"/>
    <w:rsid w:val="00DA7800"/>
    <w:rsid w:val="00DD4908"/>
    <w:rsid w:val="00DE2167"/>
    <w:rsid w:val="00E03E00"/>
    <w:rsid w:val="00E06587"/>
    <w:rsid w:val="00E9122A"/>
    <w:rsid w:val="00E953CA"/>
    <w:rsid w:val="00EA2309"/>
    <w:rsid w:val="00EC7AA3"/>
    <w:rsid w:val="00F21235"/>
    <w:rsid w:val="00F51A71"/>
    <w:rsid w:val="00F5683C"/>
    <w:rsid w:val="00F9420E"/>
    <w:rsid w:val="00FD4720"/>
    <w:rsid w:val="00FD7F07"/>
    <w:rsid w:val="00FE6DF3"/>
    <w:rsid w:val="00FF6F48"/>
    <w:rsid w:val="052C4124"/>
    <w:rsid w:val="0B320FEB"/>
    <w:rsid w:val="300544CF"/>
    <w:rsid w:val="32F93B57"/>
    <w:rsid w:val="38B3145C"/>
    <w:rsid w:val="3D403B3E"/>
    <w:rsid w:val="402A691A"/>
    <w:rsid w:val="552E1A41"/>
    <w:rsid w:val="553B3D65"/>
    <w:rsid w:val="58650403"/>
    <w:rsid w:val="597E2AFE"/>
    <w:rsid w:val="5E0F008D"/>
    <w:rsid w:val="5E5501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en-US" w:bidi="ar-SA"/>
    </w:rPr>
  </w:style>
  <w:style w:type="paragraph" w:styleId="2">
    <w:name w:val="heading 1"/>
    <w:basedOn w:val="1"/>
    <w:next w:val="1"/>
    <w:link w:val="25"/>
    <w:qFormat/>
    <w:uiPriority w:val="9"/>
    <w:pPr>
      <w:keepNext/>
      <w:keepLines/>
      <w:spacing w:before="340" w:after="330" w:line="578" w:lineRule="auto"/>
      <w:outlineLvl w:val="0"/>
    </w:pPr>
    <w:rPr>
      <w:rFonts w:eastAsia="宋体"/>
      <w:b/>
      <w:bCs/>
      <w:kern w:val="44"/>
      <w:sz w:val="32"/>
      <w:szCs w:val="44"/>
    </w:rPr>
  </w:style>
  <w:style w:type="paragraph" w:styleId="3">
    <w:name w:val="heading 2"/>
    <w:basedOn w:val="1"/>
    <w:next w:val="1"/>
    <w:link w:val="26"/>
    <w:unhideWhenUsed/>
    <w:qFormat/>
    <w:uiPriority w:val="9"/>
    <w:pPr>
      <w:keepNext/>
      <w:keepLines/>
      <w:spacing w:before="260" w:after="260" w:line="416" w:lineRule="auto"/>
      <w:outlineLvl w:val="1"/>
    </w:pPr>
    <w:rPr>
      <w:rFonts w:eastAsia="宋体" w:cstheme="majorBidi"/>
      <w:b/>
      <w:bCs/>
      <w:sz w:val="28"/>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30"/>
    <w:unhideWhenUsed/>
    <w:qFormat/>
    <w:uiPriority w:val="99"/>
  </w:style>
  <w:style w:type="paragraph" w:styleId="5">
    <w:name w:val="toc 3"/>
    <w:basedOn w:val="1"/>
    <w:next w:val="1"/>
    <w:autoRedefine/>
    <w:unhideWhenUsed/>
    <w:qFormat/>
    <w:uiPriority w:val="39"/>
    <w:pPr>
      <w:spacing w:after="100" w:line="259" w:lineRule="auto"/>
      <w:ind w:left="440"/>
    </w:pPr>
    <w:rPr>
      <w:rFonts w:asciiTheme="minorHAnsi" w:hAnsiTheme="minorHAnsi"/>
      <w:sz w:val="22"/>
      <w:szCs w:val="22"/>
      <w:lang w:eastAsia="zh-CN"/>
    </w:rPr>
  </w:style>
  <w:style w:type="paragraph" w:styleId="6">
    <w:name w:val="endnote text"/>
    <w:basedOn w:val="1"/>
    <w:link w:val="29"/>
    <w:semiHidden/>
    <w:unhideWhenUsed/>
    <w:qFormat/>
    <w:uiPriority w:val="99"/>
    <w:pPr>
      <w:snapToGrid w:val="0"/>
    </w:pPr>
  </w:style>
  <w:style w:type="paragraph" w:styleId="7">
    <w:name w:val="footer"/>
    <w:basedOn w:val="1"/>
    <w:link w:val="23"/>
    <w:unhideWhenUsed/>
    <w:qFormat/>
    <w:uiPriority w:val="99"/>
    <w:pPr>
      <w:widowControl w:val="0"/>
      <w:tabs>
        <w:tab w:val="center" w:pos="4153"/>
        <w:tab w:val="right" w:pos="8306"/>
      </w:tabs>
      <w:snapToGrid w:val="0"/>
      <w:spacing w:after="160"/>
    </w:pPr>
    <w:rPr>
      <w:rFonts w:asciiTheme="minorHAnsi" w:hAnsiTheme="minorHAnsi" w:cstheme="minorBidi"/>
      <w:kern w:val="2"/>
      <w:sz w:val="18"/>
      <w:szCs w:val="18"/>
      <w:lang w:eastAsia="zh-CN"/>
      <w14:ligatures w14:val="standardContextual"/>
    </w:rPr>
  </w:style>
  <w:style w:type="paragraph" w:styleId="8">
    <w:name w:val="header"/>
    <w:basedOn w:val="1"/>
    <w:link w:val="22"/>
    <w:unhideWhenUsed/>
    <w:qFormat/>
    <w:uiPriority w:val="99"/>
    <w:pPr>
      <w:widowControl w:val="0"/>
      <w:tabs>
        <w:tab w:val="center" w:pos="4153"/>
        <w:tab w:val="right" w:pos="8306"/>
      </w:tabs>
      <w:snapToGrid w:val="0"/>
      <w:spacing w:after="160"/>
      <w:jc w:val="center"/>
    </w:pPr>
    <w:rPr>
      <w:rFonts w:asciiTheme="minorHAnsi" w:hAnsiTheme="minorHAnsi" w:cstheme="minorBidi"/>
      <w:kern w:val="2"/>
      <w:sz w:val="18"/>
      <w:szCs w:val="18"/>
      <w:lang w:eastAsia="zh-CN"/>
      <w14:ligatures w14:val="standardContextual"/>
    </w:rPr>
  </w:style>
  <w:style w:type="paragraph" w:styleId="9">
    <w:name w:val="toc 1"/>
    <w:basedOn w:val="1"/>
    <w:next w:val="1"/>
    <w:autoRedefine/>
    <w:unhideWhenUsed/>
    <w:qFormat/>
    <w:uiPriority w:val="39"/>
    <w:pPr>
      <w:spacing w:after="100" w:line="259" w:lineRule="auto"/>
    </w:pPr>
    <w:rPr>
      <w:rFonts w:asciiTheme="minorHAnsi" w:hAnsiTheme="minorHAnsi"/>
      <w:sz w:val="22"/>
      <w:szCs w:val="22"/>
      <w:lang w:eastAsia="zh-CN"/>
    </w:rPr>
  </w:style>
  <w:style w:type="paragraph" w:styleId="10">
    <w:name w:val="footnote text"/>
    <w:basedOn w:val="1"/>
    <w:link w:val="28"/>
    <w:semiHidden/>
    <w:unhideWhenUsed/>
    <w:qFormat/>
    <w:uiPriority w:val="99"/>
    <w:pPr>
      <w:snapToGrid w:val="0"/>
    </w:pPr>
    <w:rPr>
      <w:sz w:val="18"/>
      <w:szCs w:val="18"/>
    </w:rPr>
  </w:style>
  <w:style w:type="paragraph" w:styleId="11">
    <w:name w:val="toc 2"/>
    <w:basedOn w:val="1"/>
    <w:next w:val="1"/>
    <w:autoRedefine/>
    <w:unhideWhenUsed/>
    <w:qFormat/>
    <w:uiPriority w:val="39"/>
    <w:pPr>
      <w:spacing w:after="100" w:line="259" w:lineRule="auto"/>
      <w:ind w:left="220"/>
    </w:pPr>
    <w:rPr>
      <w:rFonts w:asciiTheme="minorHAnsi" w:hAnsiTheme="minorHAnsi"/>
      <w:sz w:val="22"/>
      <w:szCs w:val="22"/>
      <w:lang w:eastAsia="zh-CN"/>
    </w:rPr>
  </w:style>
  <w:style w:type="paragraph" w:styleId="12">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paragraph" w:styleId="13">
    <w:name w:val="annotation subject"/>
    <w:basedOn w:val="4"/>
    <w:next w:val="4"/>
    <w:link w:val="31"/>
    <w:semiHidden/>
    <w:unhideWhenUsed/>
    <w:qFormat/>
    <w:uiPriority w:val="99"/>
    <w:rPr>
      <w:b/>
      <w:bCs/>
    </w:rPr>
  </w:style>
  <w:style w:type="table" w:styleId="15">
    <w:name w:val="Table Grid"/>
    <w:basedOn w:val="14"/>
    <w:qFormat/>
    <w:uiPriority w:val="59"/>
    <w:pPr>
      <w:spacing w:beforeAutospacing="1" w:afterAutospacing="1"/>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character" w:styleId="17">
    <w:name w:val="Strong"/>
    <w:basedOn w:val="16"/>
    <w:qFormat/>
    <w:uiPriority w:val="22"/>
    <w:rPr>
      <w:b/>
    </w:rPr>
  </w:style>
  <w:style w:type="character" w:styleId="18">
    <w:name w:val="endnote reference"/>
    <w:basedOn w:val="16"/>
    <w:semiHidden/>
    <w:unhideWhenUsed/>
    <w:qFormat/>
    <w:uiPriority w:val="99"/>
    <w:rPr>
      <w:vertAlign w:val="superscript"/>
    </w:rPr>
  </w:style>
  <w:style w:type="character" w:styleId="19">
    <w:name w:val="Hyperlink"/>
    <w:basedOn w:val="16"/>
    <w:unhideWhenUsed/>
    <w:qFormat/>
    <w:uiPriority w:val="99"/>
    <w:rPr>
      <w:color w:val="467886" w:themeColor="hyperlink"/>
      <w:u w:val="single"/>
      <w14:textFill>
        <w14:solidFill>
          <w14:schemeClr w14:val="hlink"/>
        </w14:solidFill>
      </w14:textFill>
    </w:rPr>
  </w:style>
  <w:style w:type="character" w:styleId="20">
    <w:name w:val="annotation reference"/>
    <w:basedOn w:val="16"/>
    <w:semiHidden/>
    <w:unhideWhenUsed/>
    <w:qFormat/>
    <w:uiPriority w:val="99"/>
    <w:rPr>
      <w:sz w:val="21"/>
      <w:szCs w:val="21"/>
    </w:rPr>
  </w:style>
  <w:style w:type="character" w:styleId="21">
    <w:name w:val="footnote reference"/>
    <w:basedOn w:val="16"/>
    <w:semiHidden/>
    <w:unhideWhenUsed/>
    <w:qFormat/>
    <w:uiPriority w:val="99"/>
    <w:rPr>
      <w:vertAlign w:val="superscript"/>
    </w:rPr>
  </w:style>
  <w:style w:type="character" w:customStyle="1" w:styleId="22">
    <w:name w:val="页眉 字符"/>
    <w:basedOn w:val="16"/>
    <w:link w:val="8"/>
    <w:qFormat/>
    <w:uiPriority w:val="99"/>
    <w:rPr>
      <w:sz w:val="18"/>
      <w:szCs w:val="18"/>
    </w:rPr>
  </w:style>
  <w:style w:type="character" w:customStyle="1" w:styleId="23">
    <w:name w:val="页脚 字符"/>
    <w:basedOn w:val="16"/>
    <w:link w:val="7"/>
    <w:qFormat/>
    <w:uiPriority w:val="99"/>
    <w:rPr>
      <w:sz w:val="18"/>
      <w:szCs w:val="18"/>
    </w:rPr>
  </w:style>
  <w:style w:type="paragraph" w:customStyle="1" w:styleId="24">
    <w:name w:val="修订1"/>
    <w:hidden/>
    <w:semiHidden/>
    <w:qFormat/>
    <w:uiPriority w:val="99"/>
    <w:rPr>
      <w:rFonts w:ascii="Times New Roman" w:hAnsi="Times New Roman" w:cs="Times New Roman" w:eastAsiaTheme="minorEastAsia"/>
      <w:sz w:val="24"/>
      <w:szCs w:val="24"/>
      <w:lang w:val="en-US" w:eastAsia="en-US" w:bidi="ar-SA"/>
    </w:rPr>
  </w:style>
  <w:style w:type="character" w:customStyle="1" w:styleId="25">
    <w:name w:val="标题 1 字符"/>
    <w:basedOn w:val="16"/>
    <w:link w:val="2"/>
    <w:qFormat/>
    <w:uiPriority w:val="9"/>
    <w:rPr>
      <w:rFonts w:ascii="Times New Roman" w:hAnsi="Times New Roman" w:eastAsia="宋体" w:cs="Times New Roman"/>
      <w:b/>
      <w:bCs/>
      <w:kern w:val="44"/>
      <w:sz w:val="32"/>
      <w:szCs w:val="44"/>
      <w:lang w:eastAsia="en-US"/>
      <w14:ligatures w14:val="none"/>
    </w:rPr>
  </w:style>
  <w:style w:type="character" w:customStyle="1" w:styleId="26">
    <w:name w:val="标题 2 字符"/>
    <w:basedOn w:val="16"/>
    <w:link w:val="3"/>
    <w:qFormat/>
    <w:uiPriority w:val="9"/>
    <w:rPr>
      <w:rFonts w:ascii="Times New Roman" w:hAnsi="Times New Roman" w:eastAsia="宋体" w:cstheme="majorBidi"/>
      <w:b/>
      <w:bCs/>
      <w:kern w:val="0"/>
      <w:sz w:val="28"/>
      <w:szCs w:val="32"/>
      <w:lang w:eastAsia="en-US"/>
      <w14:ligatures w14:val="none"/>
    </w:rPr>
  </w:style>
  <w:style w:type="paragraph" w:customStyle="1" w:styleId="27">
    <w:name w:val="TOC 标题1"/>
    <w:basedOn w:val="2"/>
    <w:next w:val="1"/>
    <w:unhideWhenUsed/>
    <w:qFormat/>
    <w:uiPriority w:val="39"/>
    <w:pPr>
      <w:spacing w:before="240" w:after="0" w:line="259" w:lineRule="auto"/>
      <w:outlineLvl w:val="9"/>
    </w:pPr>
    <w:rPr>
      <w:rFonts w:asciiTheme="majorHAnsi" w:hAnsiTheme="majorHAnsi" w:eastAsiaTheme="majorEastAsia" w:cstheme="majorBidi"/>
      <w:b w:val="0"/>
      <w:bCs w:val="0"/>
      <w:color w:val="104862" w:themeColor="accent1" w:themeShade="BF"/>
      <w:kern w:val="0"/>
      <w:szCs w:val="32"/>
      <w:lang w:eastAsia="zh-CN"/>
    </w:rPr>
  </w:style>
  <w:style w:type="character" w:customStyle="1" w:styleId="28">
    <w:name w:val="脚注文本 字符"/>
    <w:basedOn w:val="16"/>
    <w:link w:val="10"/>
    <w:semiHidden/>
    <w:qFormat/>
    <w:uiPriority w:val="99"/>
    <w:rPr>
      <w:rFonts w:ascii="Times New Roman" w:hAnsi="Times New Roman" w:cs="Times New Roman"/>
      <w:kern w:val="0"/>
      <w:sz w:val="18"/>
      <w:szCs w:val="18"/>
      <w:lang w:eastAsia="en-US"/>
      <w14:ligatures w14:val="none"/>
    </w:rPr>
  </w:style>
  <w:style w:type="character" w:customStyle="1" w:styleId="29">
    <w:name w:val="尾注文本 字符"/>
    <w:basedOn w:val="16"/>
    <w:link w:val="6"/>
    <w:semiHidden/>
    <w:qFormat/>
    <w:uiPriority w:val="99"/>
    <w:rPr>
      <w:rFonts w:ascii="Times New Roman" w:hAnsi="Times New Roman" w:cs="Times New Roman"/>
      <w:kern w:val="0"/>
      <w:sz w:val="24"/>
      <w:lang w:eastAsia="en-US"/>
      <w14:ligatures w14:val="none"/>
    </w:rPr>
  </w:style>
  <w:style w:type="character" w:customStyle="1" w:styleId="30">
    <w:name w:val="批注文字 字符"/>
    <w:basedOn w:val="16"/>
    <w:link w:val="4"/>
    <w:qFormat/>
    <w:uiPriority w:val="99"/>
    <w:rPr>
      <w:rFonts w:ascii="Times New Roman" w:hAnsi="Times New Roman" w:cs="Times New Roman"/>
      <w:kern w:val="0"/>
      <w:sz w:val="24"/>
      <w:lang w:eastAsia="en-US"/>
      <w14:ligatures w14:val="none"/>
    </w:rPr>
  </w:style>
  <w:style w:type="character" w:customStyle="1" w:styleId="31">
    <w:name w:val="批注主题 字符"/>
    <w:basedOn w:val="30"/>
    <w:link w:val="13"/>
    <w:semiHidden/>
    <w:qFormat/>
    <w:uiPriority w:val="99"/>
    <w:rPr>
      <w:rFonts w:ascii="Times New Roman" w:hAnsi="Times New Roman" w:cs="Times New Roman"/>
      <w:b/>
      <w:bCs/>
      <w:kern w:val="0"/>
      <w:sz w:val="24"/>
      <w:lang w:eastAsia="en-US"/>
      <w14:ligatures w14:val="none"/>
    </w:rPr>
  </w:style>
  <w:style w:type="character" w:customStyle="1" w:styleId="32">
    <w:name w:val="未处理的提及1"/>
    <w:basedOn w:val="16"/>
    <w:semiHidden/>
    <w:unhideWhenUsed/>
    <w:qFormat/>
    <w:uiPriority w:val="99"/>
    <w:rPr>
      <w:color w:val="605E5C"/>
      <w:shd w:val="clear" w:color="auto" w:fill="E1DFDD"/>
    </w:rPr>
  </w:style>
  <w:style w:type="paragraph" w:customStyle="1" w:styleId="33">
    <w:name w:val="Revision"/>
    <w:hidden/>
    <w:unhideWhenUsed/>
    <w:qFormat/>
    <w:uiPriority w:val="99"/>
    <w:rPr>
      <w:rFonts w:ascii="Times New Roman" w:hAnsi="Times New Roman" w:cs="Times New Roman" w:eastAsiaTheme="minorEastAsia"/>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064384-020D-4E91-8CAD-1CDBE73C3C9B}">
  <ds:schemaRefs/>
</ds:datastoreItem>
</file>

<file path=docProps/app.xml><?xml version="1.0" encoding="utf-8"?>
<Properties xmlns="http://schemas.openxmlformats.org/officeDocument/2006/extended-properties" xmlns:vt="http://schemas.openxmlformats.org/officeDocument/2006/docPropsVTypes">
  <Template>Normal</Template>
  <Pages>17</Pages>
  <Words>251</Words>
  <Characters>317</Characters>
  <Lines>218</Lines>
  <Paragraphs>160</Paragraphs>
  <TotalTime>9</TotalTime>
  <ScaleCrop>false</ScaleCrop>
  <LinksUpToDate>false</LinksUpToDate>
  <CharactersWithSpaces>416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2025-10-11T05:42:00Z</dcterms:created>
  <dc:creator>jing wang</dc:creator>
  <cp:lastModifiedBy>婧</cp:lastModifiedBy>
  <cp:lastPrinted>2025-11-03T03:42:00Z</cp:lastPrinted>
  <dcterms:modified xsi:type="dcterms:W3CDTF">2026-10-26T10:32:51Z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eyJoZGlkIjoiY2U2ZTNiMWFhODNlMmRiZjk2NmYyNjc3YTc5MmUyZWEiLCJ1c2VySWQiOiI0Mzc3MjM2MzgifQ==</vt:lpwstr>
  </property>
  <property fmtid="{D5CDD505-2E9C-101B-9397-08002B2CF9AE}" pid="3" name="KSOProductBuildVer">
    <vt:lpwstr>2052-12.1.0.29161</vt:lpwstr>
  </property>
  <property fmtid="{D5CDD505-2E9C-101B-9397-08002B2CF9AE}" pid="4" name="ICV">
    <vt:lpwstr>EC170549CCB44FBEA71F3FC635C3F9D5_13</vt:lpwstr>
  </property>
</Properties>
</file>