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89F091">
      <w:pPr>
        <w:jc w:val="center"/>
      </w:pPr>
      <w:r>
        <w:rPr>
          <w:rFonts w:ascii="Times New Roman" w:hAnsi="Times New Roman" w:eastAsia="仿宋_GB2312"/>
          <w:b/>
          <w:sz w:val="32"/>
        </w:rPr>
        <w:t>负责任矿产承诺书</w:t>
      </w:r>
    </w:p>
    <w:p w14:paraId="5AC2D9A1">
      <w:r>
        <w:rPr>
          <w:rFonts w:ascii="Times New Roman" w:hAnsi="Times New Roman" w:eastAsia="仿宋_GB2312"/>
          <w:b w:val="0"/>
          <w:sz w:val="24"/>
        </w:rPr>
        <w:t>本公司（以下简称“本公司”）作为江西赣锋锂业集团股份有限公司（以下简称“甲方”）的供应商，充分认识到商业活动及其所提供的产品可能对社会、环境及甲方造成影响。为切实履行企业社会责任，本公司遵循中国五矿化工进出口商会（CCCMC）主导建立的《中国负责任矿产供应链尽责管理指南》、经济合作与发展组织（OECD）主导建立的《关于来自受冲突影响和高风险区域的矿石的负责任供应链尽责管理指南（第三版）》及《负责任商业行为尽责管理指南》、《欧盟电池法案》（Regulation (EU) 2023/1542）等国际标准，并承诺遵守甲方公告的《负责任矿产供应链政策》（发布网址：https://www.ganfenglithium.com/esg3.html）。经审慎评估，本公司郑重承诺如下：</w:t>
      </w:r>
    </w:p>
    <w:p w14:paraId="0770AB48">
      <w:r>
        <w:rPr>
          <w:rFonts w:ascii="Times New Roman" w:hAnsi="Times New Roman" w:eastAsia="仿宋_GB2312"/>
          <w:b/>
          <w:sz w:val="24"/>
        </w:rPr>
        <w:t>一、负责任矿产承诺</w:t>
      </w:r>
    </w:p>
    <w:p w14:paraId="3751A513">
      <w:r>
        <w:rPr>
          <w:rFonts w:ascii="Times New Roman" w:hAnsi="Times New Roman" w:eastAsia="仿宋_GB2312"/>
          <w:b w:val="0"/>
          <w:sz w:val="24"/>
        </w:rPr>
        <w:t>1．本公司承诺，所有交付给甲方的产品或零部件中所使用或包含的金属，均未使用来自受冲突影响和高风险区域（CAHRAs）</w:t>
      </w:r>
      <w:r>
        <w:rPr>
          <w:rStyle w:val="136"/>
          <w:rFonts w:ascii="Times New Roman" w:hAnsi="Times New Roman" w:eastAsia="仿宋_GB2312"/>
          <w:b w:val="0"/>
          <w:sz w:val="24"/>
        </w:rPr>
        <w:footnoteReference w:id="0"/>
      </w:r>
      <w:r>
        <w:rPr>
          <w:rFonts w:ascii="Times New Roman" w:hAnsi="Times New Roman" w:eastAsia="仿宋_GB2312"/>
          <w:b w:val="0"/>
          <w:sz w:val="24"/>
        </w:rPr>
        <w:t>的“冲突矿产”。“冲突矿产”包括但不限于来自刚果民主共和国非法矿区的锡石、黑钨、钶钽铁矿和黄金及其衍生物等稀有金属，特别是3TG矿产，即金（Au）、钽（Ta）、锡（Sn）和钨（W）金属原料。</w:t>
      </w:r>
    </w:p>
    <w:p w14:paraId="306BAE3A">
      <w:r>
        <w:rPr>
          <w:rFonts w:ascii="Times New Roman" w:hAnsi="Times New Roman" w:eastAsia="仿宋_GB2312"/>
          <w:b w:val="0"/>
          <w:sz w:val="24"/>
        </w:rPr>
        <w:t>2．本公司承诺，所有交付给甲方的产品或零部件中所使用或包含的所有非3TG矿产，如铜、钴、镍、锂、石墨（天然）、云母等及其化合物，均不存在从受冲突影响和高风险区域开采、交易、加工及出口过程中助长冲突和严重侵犯人权的风险。</w:t>
      </w:r>
    </w:p>
    <w:p w14:paraId="41B3978A">
      <w:r>
        <w:rPr>
          <w:rFonts w:ascii="Times New Roman" w:hAnsi="Times New Roman" w:eastAsia="仿宋_GB2312"/>
          <w:b w:val="0"/>
          <w:sz w:val="24"/>
        </w:rPr>
        <w:t>3．本公司承诺不使用第1类风险</w:t>
      </w:r>
      <w:r>
        <w:rPr>
          <w:rStyle w:val="136"/>
          <w:rFonts w:ascii="Times New Roman" w:hAnsi="Times New Roman" w:eastAsia="仿宋_GB2312"/>
          <w:b w:val="0"/>
          <w:sz w:val="24"/>
        </w:rPr>
        <w:footnoteReference w:id="1"/>
      </w:r>
      <w:r>
        <w:rPr>
          <w:rFonts w:ascii="Times New Roman" w:hAnsi="Times New Roman" w:eastAsia="仿宋_GB2312"/>
          <w:b w:val="0"/>
          <w:sz w:val="24"/>
        </w:rPr>
        <w:t>区域的矿产，控制并持续改善对第2类风险</w:t>
      </w:r>
      <w:r>
        <w:rPr>
          <w:rStyle w:val="136"/>
          <w:rFonts w:ascii="Times New Roman" w:hAnsi="Times New Roman" w:eastAsia="仿宋_GB2312"/>
          <w:b w:val="0"/>
          <w:sz w:val="24"/>
        </w:rPr>
        <w:footnoteReference w:id="2"/>
      </w:r>
      <w:r>
        <w:rPr>
          <w:rFonts w:ascii="Times New Roman" w:hAnsi="Times New Roman" w:eastAsia="仿宋_GB2312"/>
          <w:b w:val="0"/>
          <w:sz w:val="24"/>
        </w:rPr>
        <w:t>区域矿产的使用，优先选择非第1类和非第2类风险区域的矿产；优先选用列入国际公开合法矿产清单（如品牌企业社会责任报告公布的合法矿产工厂清单）的矿产；并推动与相关政府、民间组织及当地社区开展合作，共同促进改善。</w:t>
      </w:r>
    </w:p>
    <w:p w14:paraId="411DC52F">
      <w:r>
        <w:rPr>
          <w:rFonts w:ascii="Times New Roman" w:hAnsi="Times New Roman" w:eastAsia="仿宋_GB2312"/>
          <w:b/>
          <w:sz w:val="24"/>
        </w:rPr>
        <w:t>二、</w:t>
      </w:r>
      <w:r>
        <w:rPr>
          <w:rFonts w:hint="eastAsia"/>
          <w:b/>
          <w:sz w:val="24"/>
          <w:lang w:val="en-US" w:eastAsia="zh-CN"/>
        </w:rPr>
        <w:t>负责任矿产</w:t>
      </w:r>
      <w:r>
        <w:rPr>
          <w:rFonts w:ascii="Times New Roman" w:hAnsi="Times New Roman" w:eastAsia="仿宋_GB2312"/>
          <w:b/>
          <w:sz w:val="24"/>
        </w:rPr>
        <w:t>风险承诺</w:t>
      </w:r>
    </w:p>
    <w:p w14:paraId="12F85719">
      <w:r>
        <w:rPr>
          <w:rFonts w:ascii="Times New Roman" w:hAnsi="Times New Roman" w:eastAsia="仿宋_GB2312"/>
          <w:b w:val="0"/>
          <w:sz w:val="24"/>
        </w:rPr>
        <w:t>甲方公告的《负责任矿产供应链政策》适用于钨、锡、钽、金、钴、铜、镍、锂、云母、（天然）石墨等原材料及其化合物，本公司已收悉并在内部完成传阅。本公司承诺在商业活动中识别、管理和避免以下风险，不从事任何会为冲突提供资助的活动，承诺遵守联合国相关制裁决议，或在适用情况下遵守执行此类决议的国内法律：</w:t>
      </w:r>
    </w:p>
    <w:p w14:paraId="5F21A490">
      <w:r>
        <w:rPr>
          <w:rFonts w:ascii="Times New Roman" w:hAnsi="Times New Roman" w:eastAsia="仿宋_GB2312"/>
          <w:b/>
          <w:sz w:val="24"/>
        </w:rPr>
        <w:t>（一）与矿产开采、运输或贸易有关的严重侵权行为</w:t>
      </w:r>
    </w:p>
    <w:p w14:paraId="0B29CAC8">
      <w:r>
        <w:rPr>
          <w:rFonts w:ascii="Times New Roman" w:hAnsi="Times New Roman" w:eastAsia="仿宋_GB2312"/>
          <w:b w:val="0"/>
          <w:sz w:val="24"/>
        </w:rPr>
        <w:t>本公司既不容忍，也不会以任何方式从下列行为中获利，或帮助、协助、便利任何一方实施下列行为：任何形式的酷刑，残忍、不人道和有辱人格的待遇；任何形式的强迫或强制劳动；最恶劣形式的童工；其他严重侵犯和践踏人权的行为，如普遍的性暴力行为；战争罪或其他严重违反国际人道主义法的行为，反人类罪或种族灭绝罪。如本公司有合理理由认为上游供应商正从实施上述严重侵权行为的任何一方采购或与其有关联，将立即中止或中断与该供应商的合作。</w:t>
      </w:r>
    </w:p>
    <w:p w14:paraId="5E6E7CE4">
      <w:r>
        <w:rPr>
          <w:rFonts w:ascii="Times New Roman" w:hAnsi="Times New Roman" w:eastAsia="仿宋_GB2312"/>
          <w:b/>
          <w:sz w:val="24"/>
        </w:rPr>
        <w:t>（二）直接或间接支持非国家武装团体</w:t>
      </w:r>
    </w:p>
    <w:p w14:paraId="1EF8E411">
      <w:r>
        <w:rPr>
          <w:rFonts w:ascii="Times New Roman" w:hAnsi="Times New Roman" w:eastAsia="仿宋_GB2312"/>
          <w:b w:val="0"/>
          <w:sz w:val="24"/>
        </w:rPr>
        <w:t>本公司不容忍任何通过矿产开采、运输、贸易、处理或出口为非国家武装团体提供直接或间接支持的行为，包括但不限于从非国家武装团体或其关联方购买矿产、向其付款，或以其他方式为其提供后勤支援或设备等。如本公司有理由认为上游供应商从向非国家武装团体提供直接或间接支持的任何一方采购或与之存在关系，将立即中止或中断与该供应商的合作。</w:t>
      </w:r>
    </w:p>
    <w:p w14:paraId="664745BE">
      <w:r>
        <w:rPr>
          <w:rFonts w:ascii="Times New Roman" w:hAnsi="Times New Roman" w:eastAsia="仿宋_GB2312"/>
          <w:b/>
          <w:sz w:val="24"/>
        </w:rPr>
        <w:t>（三）公共或私人安全武装</w:t>
      </w:r>
    </w:p>
    <w:p w14:paraId="34B0C63A">
      <w:r>
        <w:rPr>
          <w:rFonts w:ascii="Times New Roman" w:hAnsi="Times New Roman" w:eastAsia="仿宋_GB2312"/>
          <w:b w:val="0"/>
          <w:sz w:val="24"/>
        </w:rPr>
        <w:t>本公司杜绝向非法控制矿址、运输路线及供应链上游行为主体，在矿址入口、运输路线沿线或矿产交易点非法征税或索要钱财、矿产，或向中间商、出口企业、国际贸易者非法征税、勒索的公共或私人安全武装提供任何直接或间接支持。本公司认可，矿址及其周边地区、运输道路沿线的公共或私人安全武装的作用仅限于维护法治，包括保障人权、保护矿工、设备和设施安全、保护矿址或运输路线，使合法的开采和贸易不受干扰。本公司承诺或将规定，在与公共或私人安全武装合作过程中遵守《安全与人权自愿原则》（VPSHR），支持或采取筛查措施，确保已知的曾实施严重侵犯人权行为的个人或安全武装单位不予录用；并支持或采取措施，与中央或地方政府、国际组织和民间社会组织开展合作，提高公共安全武装安保费用的透明度、相称性和问责性，避免或最大限度降低安全武装驻扎矿址给弱势群体（尤其是小作坊矿工）带来的负面影响。如发现此类风险，本公司将根据自身在供应链中所处的具体位置，立即评定风险等级，并制定、采用和实施上游供应商及其他利益相关方风险管理计划，使风险得到遏制或降低；高风险管理计划实施3个月仍未见效的，将暂时停止或中断与上游供应商的合作。</w:t>
      </w:r>
    </w:p>
    <w:p w14:paraId="7A3AF95E">
      <w:r>
        <w:rPr>
          <w:rFonts w:ascii="Times New Roman" w:hAnsi="Times New Roman" w:eastAsia="仿宋_GB2312"/>
          <w:b/>
          <w:sz w:val="24"/>
        </w:rPr>
        <w:t>（四）行贿受贿及矿产原产地的欺诈性失实陈述</w:t>
      </w:r>
    </w:p>
    <w:p w14:paraId="2D2C4544">
      <w:r>
        <w:rPr>
          <w:rFonts w:ascii="Times New Roman" w:hAnsi="Times New Roman" w:eastAsia="仿宋_GB2312"/>
          <w:b w:val="0"/>
          <w:sz w:val="24"/>
        </w:rPr>
        <w:t>本公司不提供、承诺、给予或索要任何贿赂，并坚决抵制索贿；不会为掩盖或伪造矿产原产地，或为虚报矿产开采、贸易、处理、运输、出口等活动应向政府缴纳的税收、费用和特许开采费而行贿。</w:t>
      </w:r>
    </w:p>
    <w:p w14:paraId="772EDA3A">
      <w:r>
        <w:rPr>
          <w:rFonts w:ascii="Times New Roman" w:hAnsi="Times New Roman" w:eastAsia="仿宋_GB2312"/>
          <w:b/>
          <w:sz w:val="24"/>
        </w:rPr>
        <w:t>（五）洗钱</w:t>
      </w:r>
    </w:p>
    <w:p w14:paraId="5FCFCB73">
      <w:r>
        <w:rPr>
          <w:rFonts w:ascii="Times New Roman" w:hAnsi="Times New Roman" w:eastAsia="仿宋_GB2312"/>
          <w:b w:val="0"/>
          <w:sz w:val="24"/>
        </w:rPr>
        <w:t>如本公司有理由认为，存在因开采、贸易、处理、运输或出口在矿址入口、运输路线沿线或上游供应商矿产交易地经非法征税、勒索所得的矿产而引起或与之相关的洗钱风险，将支持或采取措施，为有效消除洗钱行为做出贡献。</w:t>
      </w:r>
    </w:p>
    <w:p w14:paraId="1475A9F0">
      <w:r>
        <w:rPr>
          <w:rFonts w:ascii="Times New Roman" w:hAnsi="Times New Roman" w:eastAsia="仿宋_GB2312"/>
          <w:b/>
          <w:sz w:val="24"/>
        </w:rPr>
        <w:t>（六）向政府支付的税收、费用及特许费</w:t>
      </w:r>
    </w:p>
    <w:p w14:paraId="1B3C2161">
      <w:r>
        <w:rPr>
          <w:rFonts w:ascii="Times New Roman" w:hAnsi="Times New Roman" w:eastAsia="仿宋_GB2312"/>
          <w:b w:val="0"/>
          <w:sz w:val="24"/>
        </w:rPr>
        <w:t>本公司将确保向政府支付所有与受冲突影响和高风险区域矿石开采、贸易、出口相关的合法税收、费用和特许费，并根据本公司在供应链中所处的位置，依照《采掘行业透明度行动计划》（EITI）的各项原则对此类支付进行披露。本公司承诺与供应商、中央或地方政府机关、国际组织、民间社会以及受影响的第三方酌情开展合作，在合理的时间跨度内采取显著措施防范或降低负面影响风险，并对绩效进行改善或跟踪；风险降低措施未见效的，将暂时停止或中断与上游供应商的合作。</w:t>
      </w:r>
    </w:p>
    <w:p w14:paraId="0BD23662">
      <w:r>
        <w:rPr>
          <w:rFonts w:ascii="Times New Roman" w:hAnsi="Times New Roman" w:eastAsia="仿宋_GB2312"/>
          <w:b/>
          <w:sz w:val="24"/>
        </w:rPr>
        <w:t>（七）职业健康与安全</w:t>
      </w:r>
    </w:p>
    <w:p w14:paraId="16B0D621">
      <w:r>
        <w:rPr>
          <w:rFonts w:ascii="Times New Roman" w:hAnsi="Times New Roman" w:eastAsia="仿宋_GB2312"/>
          <w:b w:val="0"/>
          <w:sz w:val="24"/>
        </w:rPr>
        <w:t>在进行采购或生产时，本公司不会从任何为其直接和/或间接雇员和/或在其生产现场的任何人员提供威胁生命的职业健康与安全环境的一方获利，不会协助或便利该等行为，也不会从该方采购或与之存在关联。本公司对上游供应进行不定期审核和宣贯，督促供应商自律并关注上游供应商的职业健康及生产环境；如有合理理由认为上游供应商存在或涉及此类风险，将立即中止或中断与该供应商的合作。</w:t>
      </w:r>
    </w:p>
    <w:p w14:paraId="0E76692C">
      <w:r>
        <w:rPr>
          <w:rFonts w:ascii="Times New Roman" w:hAnsi="Times New Roman" w:eastAsia="仿宋_GB2312"/>
          <w:b/>
          <w:sz w:val="24"/>
        </w:rPr>
        <w:t>（八）童工</w:t>
      </w:r>
    </w:p>
    <w:p w14:paraId="2FA12B89">
      <w:r>
        <w:rPr>
          <w:rFonts w:ascii="Times New Roman" w:hAnsi="Times New Roman" w:eastAsia="仿宋_GB2312"/>
          <w:b w:val="0"/>
          <w:sz w:val="24"/>
        </w:rPr>
        <w:t>在开展采购或经营活动时，本公司不雇佣、不获利、不协助、不为低于东道国法律或法规规定的最低工作年龄的儿童就业提供便利，也不与该等主体采购或建立关联；如东道国无相关法律、法规规定，最低工作年龄为16周岁。本公司对上游供应进行不定期审核和宣贯，及时提请供应商自律，关注上游供应商所在区域的整体用工情况并做好风险评估和调查；如有合理理由认为上游供应商存在或涉及此类风险，将立即中止或中断与该供应商的合作。</w:t>
      </w:r>
    </w:p>
    <w:p w14:paraId="5B574D9D">
      <w:r>
        <w:rPr>
          <w:rFonts w:ascii="Times New Roman" w:hAnsi="Times New Roman" w:eastAsia="仿宋_GB2312"/>
          <w:b/>
          <w:sz w:val="24"/>
        </w:rPr>
        <w:t>（九）土地权利、排放和小作坊</w:t>
      </w:r>
    </w:p>
    <w:p w14:paraId="09D48F8A">
      <w:r>
        <w:rPr>
          <w:rFonts w:ascii="Times New Roman" w:hAnsi="Times New Roman" w:eastAsia="仿宋_GB2312"/>
          <w:b w:val="0"/>
          <w:sz w:val="24"/>
        </w:rPr>
        <w:t>本公司不参与、不容忍、也不受益于在未获得当地人和土著人自由、预先、知情同意的情况下开采资源，包括持有法定所有权、租赁权、特许权或许可证的开采商；不参与、不容忍、也不受益于当地人和土著人的文化和遗产未受尊重和保护、或损害当地人传统文化的开采作业；不参与、不容忍、也不受益于在非法获得法定所有权、租赁权、特许权或许可证或违反国内法的土地上开采资源。本公司确保避免给周围土壤、空气和水的状况造成重大不利影响，不制造、交易、使用因对生物体高毒性、环境持久性或潜在的不可逆生态影响而受到国际禁令的化学品与危险物质，不排放砷和汞；承诺定期评估并降低采矿对土壤、空气、水造成的不利影响，采取具有技术、资金可行性与适用性的污染预防方法与技术，按照东道国相关法律法规对企业排放的主要污染物进行监测，明确记录、公开监测结果并采取控制与减少排放策略；承诺遵守化学品和有毒物质管理的适用法律规定，按照最高国际标准严格控制砷和汞的排放，管理氰化物，确保危险物质的处置、贮存和运输符合相关法律法规。本公司禁止在世界遗产地或法定保护区开采资源，避免由此给上述遗产的突出普遍价值造成威胁；特别关注与小作坊或小规模采矿商相关的强迫劳动、童工、不安全工作条件、不受控危险化学品使用及其他重大环境影响风险，寻求与开采区的小作坊或小规模采矿商建立生产关系。如有合理理由认为存在此类风险，本公司将根据自身在供应链中所处的具体位置，立即与供应商及其他利益相关方共同制定、采用和实施风险管理计划，防范或降低侵害土地权利、重大不利环境影响或小作坊/小规模采矿相关的具体风险。</w:t>
      </w:r>
    </w:p>
    <w:p w14:paraId="7D5F7195">
      <w:r>
        <w:rPr>
          <w:rFonts w:ascii="Times New Roman" w:hAnsi="Times New Roman" w:eastAsia="仿宋_GB2312"/>
          <w:b/>
          <w:sz w:val="24"/>
        </w:rPr>
        <w:t>（十）环境和社会风险</w:t>
      </w:r>
    </w:p>
    <w:p w14:paraId="08BC4667">
      <w:r>
        <w:rPr>
          <w:rFonts w:ascii="Times New Roman" w:hAnsi="Times New Roman" w:eastAsia="仿宋_GB2312"/>
          <w:b w:val="0"/>
          <w:sz w:val="24"/>
        </w:rPr>
        <w:t>本公司持续关注以下环境和社会风险：1）环境、气候、人类健康，综合考虑直接、诱发、间接和累积后果等因素，包括：(i)空气，如空气污染、温室气体排放；(ii)水体，包括海底和海洋环境，涵盖水污染、水消耗、水量（洪水或干旱）和水资源获取；(iii)土壤，包括土壤污染、水土流失、土地利用和土地退化；(iv)生物多样性，包括对自然栖息地、野生动物、植物和生态系统（含生态系统服务）的破坏；(v)危险物质；(vi)噪音和振动；(vii)工厂安全；(viii)能源消耗；(ix)废弃物和残留物。2）人权、工人权利和社会伙伴关系，包括：(i)工作中的健康和安全；(ii)童工；(iii)强制性劳役；(iv)歧视；(v)工会自由。3）社区生活，包括原住民的社区生活。本公司承诺根据自身在供应链中所处的具体位置，与供应商、中央或地方政府机关、国际组织、民间社会以及受影响的第三方开展合作，在合理的时间跨度内采取显著措施防范或降低负面影响风险，并对绩效进行改善或跟踪；风险降低措施未见效的，将暂时停止或中断与上游供应商的合作。</w:t>
      </w:r>
    </w:p>
    <w:p w14:paraId="3AC2B8C3">
      <w:r>
        <w:rPr>
          <w:rFonts w:ascii="Times New Roman" w:hAnsi="Times New Roman" w:eastAsia="仿宋_GB2312"/>
          <w:b/>
          <w:sz w:val="24"/>
        </w:rPr>
        <w:t>三、信息配合与违约责任</w:t>
      </w:r>
    </w:p>
    <w:p w14:paraId="5EE0A752">
      <w:r>
        <w:rPr>
          <w:rFonts w:ascii="Times New Roman" w:hAnsi="Times New Roman" w:eastAsia="仿宋_GB2312"/>
          <w:b w:val="0"/>
          <w:sz w:val="24"/>
        </w:rPr>
        <w:t>1．本公司将按照甲方的要求，如实填写并回复有关“负责任矿产”的调查，并承诺所回复内容的真实性及准确性。</w:t>
      </w:r>
    </w:p>
    <w:p w14:paraId="347520C9">
      <w:r>
        <w:rPr>
          <w:rFonts w:ascii="Times New Roman" w:hAnsi="Times New Roman" w:eastAsia="仿宋_GB2312"/>
          <w:b w:val="0"/>
          <w:sz w:val="24"/>
        </w:rPr>
        <w:t>2．本公司应采取积极行动，避免因违背本承诺书而给甲方带来经济、声誉等方面的损失。如因违反本承诺致使甲方遭受损失，本公司愿依法承担赔偿责任。</w:t>
      </w:r>
    </w:p>
    <w:p w14:paraId="7C3C25A0">
      <w:r>
        <w:rPr>
          <w:rFonts w:hint="eastAsia"/>
          <w:b/>
          <w:sz w:val="24"/>
          <w:lang w:val="en-US" w:eastAsia="zh-CN"/>
        </w:rPr>
        <w:t>四</w:t>
      </w:r>
      <w:r>
        <w:rPr>
          <w:rFonts w:ascii="Times New Roman" w:hAnsi="Times New Roman" w:eastAsia="仿宋_GB2312"/>
          <w:b/>
          <w:sz w:val="24"/>
        </w:rPr>
        <w:t>、其他条款</w:t>
      </w:r>
    </w:p>
    <w:p w14:paraId="0F63D02E">
      <w:r>
        <w:rPr>
          <w:rFonts w:ascii="Times New Roman" w:hAnsi="Times New Roman" w:eastAsia="仿宋_GB2312"/>
          <w:b w:val="0"/>
          <w:sz w:val="24"/>
        </w:rPr>
        <w:t>1．本承诺书未尽事宜，按甲方公告的《负责任矿产供应链政策》执行；该政策后续更新的，以甲方官方网站最新公告版本为准。</w:t>
      </w:r>
    </w:p>
    <w:p w14:paraId="1D911025">
      <w:r>
        <w:rPr>
          <w:rFonts w:ascii="Times New Roman" w:hAnsi="Times New Roman" w:eastAsia="仿宋_GB2312"/>
          <w:b w:val="0"/>
          <w:sz w:val="24"/>
        </w:rPr>
        <w:t>2．非经甲方书面同意，本公司不得自行变更本承诺书。</w:t>
      </w:r>
    </w:p>
    <w:p w14:paraId="7605966F">
      <w:r>
        <w:rPr>
          <w:rFonts w:ascii="Times New Roman" w:hAnsi="Times New Roman" w:eastAsia="仿宋_GB2312"/>
          <w:b w:val="0"/>
          <w:sz w:val="24"/>
        </w:rPr>
        <w:t>3．签署人承诺有权或已获得充分授权代表本公司签署本承诺书。</w:t>
      </w:r>
    </w:p>
    <w:p w14:paraId="6BEDD3DB">
      <w:r>
        <w:rPr>
          <w:rFonts w:ascii="Times New Roman" w:hAnsi="Times New Roman" w:eastAsia="仿宋_GB2312"/>
          <w:b w:val="0"/>
          <w:sz w:val="24"/>
        </w:rPr>
        <w:t>4．本承诺书自＿＿＿＿年＿＿月＿＿日起生效。</w:t>
      </w:r>
    </w:p>
    <w:p w14:paraId="604E49DF">
      <w:r>
        <w:rPr>
          <w:rFonts w:ascii="Times New Roman" w:hAnsi="Times New Roman" w:eastAsia="仿宋_GB2312"/>
          <w:b w:val="0"/>
          <w:sz w:val="24"/>
        </w:rPr>
        <w:t>5．本承诺书以中英文书写，若两种语言存在任何冲突、不一致或差异，以中文为准。</w:t>
      </w:r>
    </w:p>
    <w:p w14:paraId="5E1DDFDF"/>
    <w:p w14:paraId="2D97CA6C">
      <w:r>
        <w:rPr>
          <w:rFonts w:ascii="Times New Roman" w:hAnsi="Times New Roman" w:eastAsia="仿宋_GB2312"/>
          <w:b w:val="0"/>
          <w:sz w:val="24"/>
        </w:rPr>
        <w:t>法人代表或授权代表签名：＿＿＿＿＿＿＿＿＿＿＿＿</w:t>
      </w:r>
    </w:p>
    <w:p w14:paraId="6E6A27AC">
      <w:r>
        <w:rPr>
          <w:rFonts w:ascii="Times New Roman" w:hAnsi="Times New Roman" w:eastAsia="仿宋_GB2312"/>
          <w:b w:val="0"/>
          <w:sz w:val="24"/>
        </w:rPr>
        <w:t>公司公章：＿＿＿＿＿＿＿＿＿＿＿＿＿</w:t>
      </w:r>
    </w:p>
    <w:p w14:paraId="1B7D6E0D">
      <w:r>
        <w:rPr>
          <w:rFonts w:ascii="Times New Roman" w:hAnsi="Times New Roman" w:eastAsia="仿宋_GB2312"/>
          <w:b w:val="0"/>
          <w:sz w:val="24"/>
        </w:rPr>
        <w:t>签署日期：＿＿＿＿年＿＿月＿＿日</w:t>
      </w:r>
    </w:p>
    <w:sectPr>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ＭＳ 明朝">
    <w:altName w:val="Yu Gothic"/>
    <w:panose1 w:val="00000000000000000000"/>
    <w:charset w:val="80"/>
    <w:family w:val="roman"/>
    <w:pitch w:val="default"/>
    <w:sig w:usb0="00000000" w:usb1="00000000" w:usb2="00000010" w:usb3="00000000" w:csb0="00020000" w:csb1="00000000"/>
  </w:font>
  <w:font w:name="ＭＳ 明朝">
    <w:altName w:val="宋体"/>
    <w:panose1 w:val="00000000000000000000"/>
    <w:charset w:val="86"/>
    <w:family w:val="auto"/>
    <w:pitch w:val="default"/>
    <w:sig w:usb0="00000000" w:usb1="00000000" w:usb2="00000000" w:usb3="00000000" w:csb0="00000000" w:csb1="00000000"/>
  </w:font>
  <w:font w:name="仿宋_GB2312">
    <w:altName w:val="仿宋"/>
    <w:panose1 w:val="00000000000000000000"/>
    <w:charset w:val="00"/>
    <w:family w:val="auto"/>
    <w:pitch w:val="default"/>
    <w:sig w:usb0="00000000" w:usb1="00000000" w:usb2="00000000" w:usb3="00000000" w:csb0="00000000" w:csb1="00000000"/>
  </w:font>
  <w:font w:name="MS Gothic">
    <w:panose1 w:val="020B0609070205080204"/>
    <w:charset w:val="80"/>
    <w:family w:val="modern"/>
    <w:pitch w:val="default"/>
    <w:sig w:usb0="E00002FF" w:usb1="6AC7FDFB" w:usb2="08000012" w:usb3="00000000" w:csb0="4002009F" w:csb1="DFD70000"/>
  </w:font>
  <w:font w:name="Courier">
    <w:altName w:val="Courier New"/>
    <w:panose1 w:val="02000500000000000000"/>
    <w:charset w:val="00"/>
    <w:family w:val="auto"/>
    <w:pitch w:val="default"/>
    <w:sig w:usb0="00000000" w:usb1="00000000" w:usb2="00000000" w:usb3="00000000" w:csb0="00000001" w:csb1="00000000"/>
  </w:font>
  <w:font w:name="ＭＳ 明朝">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 w:name="Courier New">
    <w:panose1 w:val="02070309020205020404"/>
    <w:charset w:val="00"/>
    <w:family w:val="auto"/>
    <w:pitch w:val="default"/>
    <w:sig w:usb0="E0002EFF" w:usb1="C0007843" w:usb2="00000009" w:usb3="00000000" w:csb0="400001FF" w:csb1="FFFF0000"/>
  </w:font>
  <w:font w:name="Yu Gothic">
    <w:panose1 w:val="020B0400000000000000"/>
    <w:charset w:val="80"/>
    <w:family w:val="auto"/>
    <w:pitch w:val="default"/>
    <w:sig w:usb0="E00002FF" w:usb1="2AC7FDFF" w:usb2="00000016" w:usb3="00000000" w:csb0="2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6">
    <w:p>
      <w:pPr>
        <w:spacing w:before="0" w:after="0" w:line="276" w:lineRule="auto"/>
      </w:pPr>
      <w:r>
        <w:separator/>
      </w:r>
    </w:p>
  </w:footnote>
  <w:footnote w:type="continuationSeparator" w:id="7">
    <w:p>
      <w:pPr>
        <w:spacing w:before="0" w:after="0" w:line="276" w:lineRule="auto"/>
      </w:pPr>
      <w:r>
        <w:continuationSeparator/>
      </w:r>
    </w:p>
  </w:footnote>
  <w:footnote w:id="0">
    <w:p w14:paraId="39AECA4D">
      <w:r>
        <w:rPr>
          <w:rStyle w:val="136"/>
        </w:rPr>
        <w:footnoteRef/>
      </w:r>
      <w:r>
        <w:t xml:space="preserve"> </w:t>
      </w:r>
      <w:r>
        <w:rPr>
          <w:rFonts w:ascii="Times New Roman" w:hAnsi="Times New Roman" w:eastAsia="仿宋_GB2312"/>
          <w:b w:val="0"/>
          <w:sz w:val="24"/>
        </w:rPr>
        <w:t>受冲突影响和高风险区域（CAHRAs）</w:t>
      </w:r>
      <w:r>
        <w:rPr>
          <w:rFonts w:hint="eastAsia"/>
          <w:b w:val="0"/>
          <w:sz w:val="24"/>
          <w:lang w:eastAsia="zh-CN"/>
        </w:rPr>
        <w:t>：</w:t>
      </w:r>
      <w:r>
        <w:rPr>
          <w:rFonts w:ascii="Times New Roman" w:hAnsi="Times New Roman" w:eastAsia="仿宋_GB2312"/>
          <w:b w:val="0"/>
          <w:sz w:val="24"/>
        </w:rPr>
        <w:t>指存在武装冲突、大范围暴力活动或其他使人民面临广泛风险或伤害的因素的地区。武装冲突形式多种多样，如国际性或非国际性冲突，也可能表现为低强度内战、叛乱或蓄意、无差别的暴力行为等。高风险地区指可能存在严重政治不稳定或制度环境脆弱，可能发生或正在发生大范围、严重违反国际人权法行为，或违反国内法律与法规的地区。</w:t>
      </w:r>
    </w:p>
    <w:p w14:paraId="409E6940">
      <w:pPr>
        <w:pStyle w:val="28"/>
        <w:snapToGrid w:val="0"/>
      </w:pPr>
    </w:p>
  </w:footnote>
  <w:footnote w:id="1">
    <w:p w14:paraId="011EBF7C">
      <w:r>
        <w:rPr>
          <w:rStyle w:val="136"/>
        </w:rPr>
        <w:footnoteRef/>
      </w:r>
      <w:r>
        <w:t xml:space="preserve"> </w:t>
      </w:r>
      <w:r>
        <w:rPr>
          <w:rFonts w:ascii="Times New Roman" w:hAnsi="Times New Roman" w:eastAsia="仿宋_GB2312"/>
          <w:b w:val="0"/>
          <w:sz w:val="24"/>
        </w:rPr>
        <w:t>第1类风险：指与</w:t>
      </w:r>
      <w:bookmarkStart w:id="0" w:name="_GoBack"/>
      <w:bookmarkEnd w:id="0"/>
      <w:r>
        <w:rPr>
          <w:rFonts w:ascii="Times New Roman" w:hAnsi="Times New Roman" w:eastAsia="仿宋_GB2312"/>
          <w:b w:val="0"/>
          <w:sz w:val="24"/>
        </w:rPr>
        <w:t>从冲突影响和高风险区域开采、交易、加工及出口相关、助长冲突和严重侵犯人权的风险。</w:t>
      </w:r>
    </w:p>
    <w:p w14:paraId="764C890E">
      <w:pPr>
        <w:pStyle w:val="28"/>
        <w:snapToGrid w:val="0"/>
      </w:pPr>
    </w:p>
  </w:footnote>
  <w:footnote w:id="2">
    <w:p w14:paraId="7D00B5F8">
      <w:pPr>
        <w:pStyle w:val="28"/>
        <w:snapToGrid w:val="0"/>
      </w:pPr>
      <w:r>
        <w:rPr>
          <w:rStyle w:val="136"/>
        </w:rPr>
        <w:footnoteRef/>
      </w:r>
      <w:r>
        <w:t xml:space="preserve"> </w:t>
      </w:r>
      <w:r>
        <w:rPr>
          <w:rFonts w:ascii="Times New Roman" w:hAnsi="Times New Roman" w:eastAsia="仿宋_GB2312"/>
          <w:b w:val="0"/>
          <w:sz w:val="24"/>
        </w:rPr>
        <w:t>第2类风险：指其他与环境、社会及经济相关的风险。</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20"/>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13"/>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18"/>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3"/>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14"/>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16"/>
      <w:lvlText w:val=""/>
      <w:lvlJc w:val="left"/>
      <w:pPr>
        <w:tabs>
          <w:tab w:val="left" w:pos="360"/>
        </w:tabs>
        <w:ind w:left="360" w:hanging="360"/>
      </w:pPr>
      <w:rPr>
        <w:rFonts w:hint="default" w:ascii="Symbol" w:hAnsi="Symbol"/>
      </w:rPr>
    </w:lvl>
  </w:abstractNum>
  <w:num w:numId="1">
    <w:abstractNumId w:val="1"/>
  </w:num>
  <w:num w:numId="2">
    <w:abstractNumId w:val="4"/>
  </w:num>
  <w:num w:numId="3">
    <w:abstractNumId w:val="5"/>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1"/>
  <w:documentProtection w:enforcement="0"/>
  <w:defaultTabStop w:val="720"/>
  <w:characterSpacingControl w:val="doNotCompress"/>
  <w:footnotePr>
    <w:footnote w:id="6"/>
    <w:footnote w:id="7"/>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350D1372"/>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qFormat="1" w:uiPriority="99" w:semiHidden="0" w:name="macro"/>
    <w:lsdException w:uiPriority="99" w:name="toa heading"/>
    <w:lsdException w:qFormat="1" w:uiPriority="99" w:semiHidden="0" w:name="List"/>
    <w:lsdException w:qFormat="1" w:uiPriority="99" w:semiHidden="0" w:name="List Bullet"/>
    <w:lsdException w:qFormat="1" w:uiPriority="99" w:semiHidden="0" w:name="List Number"/>
    <w:lsdException w:qFormat="1" w:uiPriority="99" w:semiHidden="0" w:name="List 2"/>
    <w:lsdException w:qFormat="1" w:uiPriority="99" w:semiHidden="0" w:name="List 3"/>
    <w:lsdException w:uiPriority="99" w:name="List 4"/>
    <w:lsdException w:uiPriority="99" w:name="List 5"/>
    <w:lsdException w:qFormat="1" w:uiPriority="99" w:semiHidden="0" w:name="List Bullet 2"/>
    <w:lsdException w:qFormat="1" w:uiPriority="99" w:semiHidden="0" w:name="List Bullet 3"/>
    <w:lsdException w:uiPriority="99" w:name="List Bullet 4"/>
    <w:lsdException w:uiPriority="99" w:name="List Bullet 5"/>
    <w:lsdException w:qFormat="1"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qFormat="1" w:uiPriority="99" w:semiHidden="0" w:name="List Continue"/>
    <w:lsdException w:qFormat="1"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qFormat="1"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spacing w:after="200" w:line="276" w:lineRule="auto"/>
    </w:pPr>
    <w:rPr>
      <w:rFonts w:ascii="Times New Roman" w:hAnsi="Times New Roman" w:eastAsia="仿宋_GB2312" w:cstheme="minorBidi"/>
      <w:sz w:val="24"/>
      <w:szCs w:val="22"/>
      <w:lang w:val="en-US" w:eastAsia="en-US" w:bidi="ar-SA"/>
    </w:rPr>
  </w:style>
  <w:style w:type="paragraph" w:styleId="3">
    <w:name w:val="heading 1"/>
    <w:basedOn w:val="1"/>
    <w:next w:val="1"/>
    <w:link w:val="140"/>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4">
    <w:name w:val="heading 2"/>
    <w:basedOn w:val="1"/>
    <w:next w:val="1"/>
    <w:link w:val="141"/>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5">
    <w:name w:val="heading 3"/>
    <w:basedOn w:val="1"/>
    <w:next w:val="1"/>
    <w:link w:val="142"/>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6">
    <w:name w:val="heading 4"/>
    <w:basedOn w:val="1"/>
    <w:next w:val="1"/>
    <w:link w:val="152"/>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7">
    <w:name w:val="heading 5"/>
    <w:basedOn w:val="1"/>
    <w:next w:val="1"/>
    <w:link w:val="153"/>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8">
    <w:name w:val="heading 6"/>
    <w:basedOn w:val="1"/>
    <w:next w:val="1"/>
    <w:link w:val="154"/>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9">
    <w:name w:val="heading 7"/>
    <w:basedOn w:val="1"/>
    <w:next w:val="1"/>
    <w:link w:val="155"/>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10">
    <w:name w:val="heading 8"/>
    <w:basedOn w:val="1"/>
    <w:next w:val="1"/>
    <w:link w:val="156"/>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1">
    <w:name w:val="heading 9"/>
    <w:basedOn w:val="1"/>
    <w:next w:val="1"/>
    <w:link w:val="157"/>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33">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2">
    <w:name w:val="macro"/>
    <w:link w:val="149"/>
    <w:unhideWhenUsed/>
    <w:qFormat/>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12">
    <w:name w:val="List 3"/>
    <w:basedOn w:val="1"/>
    <w:unhideWhenUsed/>
    <w:qFormat/>
    <w:uiPriority w:val="99"/>
    <w:pPr>
      <w:ind w:left="1080" w:hanging="360"/>
      <w:contextualSpacing/>
    </w:pPr>
  </w:style>
  <w:style w:type="paragraph" w:styleId="13">
    <w:name w:val="List Number 2"/>
    <w:basedOn w:val="1"/>
    <w:unhideWhenUsed/>
    <w:qFormat/>
    <w:uiPriority w:val="99"/>
    <w:pPr>
      <w:numPr>
        <w:ilvl w:val="0"/>
        <w:numId w:val="1"/>
      </w:numPr>
      <w:contextualSpacing/>
    </w:pPr>
  </w:style>
  <w:style w:type="paragraph" w:styleId="14">
    <w:name w:val="List Number"/>
    <w:basedOn w:val="1"/>
    <w:unhideWhenUsed/>
    <w:qFormat/>
    <w:uiPriority w:val="99"/>
    <w:pPr>
      <w:numPr>
        <w:ilvl w:val="0"/>
        <w:numId w:val="2"/>
      </w:numPr>
      <w:contextualSpacing/>
    </w:pPr>
  </w:style>
  <w:style w:type="paragraph" w:styleId="15">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6">
    <w:name w:val="List Bullet"/>
    <w:basedOn w:val="1"/>
    <w:unhideWhenUsed/>
    <w:qFormat/>
    <w:uiPriority w:val="99"/>
    <w:pPr>
      <w:numPr>
        <w:ilvl w:val="0"/>
        <w:numId w:val="3"/>
      </w:numPr>
      <w:contextualSpacing/>
    </w:pPr>
  </w:style>
  <w:style w:type="paragraph" w:styleId="17">
    <w:name w:val="Body Text 3"/>
    <w:basedOn w:val="1"/>
    <w:link w:val="148"/>
    <w:unhideWhenUsed/>
    <w:qFormat/>
    <w:uiPriority w:val="99"/>
    <w:pPr>
      <w:spacing w:after="120"/>
    </w:pPr>
    <w:rPr>
      <w:sz w:val="16"/>
      <w:szCs w:val="16"/>
    </w:rPr>
  </w:style>
  <w:style w:type="paragraph" w:styleId="18">
    <w:name w:val="List Bullet 3"/>
    <w:basedOn w:val="1"/>
    <w:unhideWhenUsed/>
    <w:qFormat/>
    <w:uiPriority w:val="99"/>
    <w:pPr>
      <w:numPr>
        <w:ilvl w:val="0"/>
        <w:numId w:val="4"/>
      </w:numPr>
      <w:contextualSpacing/>
    </w:pPr>
  </w:style>
  <w:style w:type="paragraph" w:styleId="19">
    <w:name w:val="Body Text"/>
    <w:basedOn w:val="1"/>
    <w:link w:val="146"/>
    <w:unhideWhenUsed/>
    <w:qFormat/>
    <w:uiPriority w:val="99"/>
    <w:pPr>
      <w:spacing w:after="120"/>
    </w:pPr>
  </w:style>
  <w:style w:type="paragraph" w:styleId="20">
    <w:name w:val="List Number 3"/>
    <w:basedOn w:val="1"/>
    <w:unhideWhenUsed/>
    <w:qFormat/>
    <w:uiPriority w:val="99"/>
    <w:pPr>
      <w:numPr>
        <w:ilvl w:val="0"/>
        <w:numId w:val="5"/>
      </w:numPr>
      <w:contextualSpacing/>
    </w:pPr>
  </w:style>
  <w:style w:type="paragraph" w:styleId="21">
    <w:name w:val="List 2"/>
    <w:basedOn w:val="1"/>
    <w:unhideWhenUsed/>
    <w:qFormat/>
    <w:uiPriority w:val="99"/>
    <w:pPr>
      <w:ind w:left="720" w:hanging="360"/>
      <w:contextualSpacing/>
    </w:pPr>
  </w:style>
  <w:style w:type="paragraph" w:styleId="22">
    <w:name w:val="List Continue"/>
    <w:basedOn w:val="1"/>
    <w:unhideWhenUsed/>
    <w:qFormat/>
    <w:uiPriority w:val="99"/>
    <w:pPr>
      <w:spacing w:after="120"/>
      <w:ind w:left="360"/>
      <w:contextualSpacing/>
    </w:pPr>
  </w:style>
  <w:style w:type="paragraph" w:styleId="23">
    <w:name w:val="List Bullet 2"/>
    <w:basedOn w:val="1"/>
    <w:unhideWhenUsed/>
    <w:qFormat/>
    <w:uiPriority w:val="99"/>
    <w:pPr>
      <w:numPr>
        <w:ilvl w:val="0"/>
        <w:numId w:val="6"/>
      </w:numPr>
      <w:contextualSpacing/>
    </w:pPr>
  </w:style>
  <w:style w:type="paragraph" w:styleId="24">
    <w:name w:val="footer"/>
    <w:basedOn w:val="1"/>
    <w:link w:val="138"/>
    <w:unhideWhenUsed/>
    <w:qFormat/>
    <w:uiPriority w:val="99"/>
    <w:pPr>
      <w:tabs>
        <w:tab w:val="center" w:pos="4680"/>
        <w:tab w:val="right" w:pos="9360"/>
      </w:tabs>
      <w:spacing w:after="0" w:line="240" w:lineRule="auto"/>
    </w:pPr>
  </w:style>
  <w:style w:type="paragraph" w:styleId="25">
    <w:name w:val="header"/>
    <w:basedOn w:val="1"/>
    <w:link w:val="137"/>
    <w:unhideWhenUsed/>
    <w:uiPriority w:val="99"/>
    <w:pPr>
      <w:tabs>
        <w:tab w:val="center" w:pos="4680"/>
        <w:tab w:val="right" w:pos="9360"/>
      </w:tabs>
      <w:spacing w:after="0" w:line="240" w:lineRule="auto"/>
    </w:pPr>
  </w:style>
  <w:style w:type="paragraph" w:styleId="26">
    <w:name w:val="Subtitle"/>
    <w:basedOn w:val="1"/>
    <w:next w:val="1"/>
    <w:link w:val="144"/>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27">
    <w:name w:val="List"/>
    <w:basedOn w:val="1"/>
    <w:unhideWhenUsed/>
    <w:qFormat/>
    <w:uiPriority w:val="99"/>
    <w:pPr>
      <w:ind w:left="360" w:hanging="360"/>
      <w:contextualSpacing/>
    </w:pPr>
  </w:style>
  <w:style w:type="paragraph" w:styleId="28">
    <w:name w:val="footnote text"/>
    <w:basedOn w:val="1"/>
    <w:semiHidden/>
    <w:unhideWhenUsed/>
    <w:uiPriority w:val="99"/>
    <w:pPr>
      <w:snapToGrid w:val="0"/>
      <w:jc w:val="left"/>
    </w:pPr>
    <w:rPr>
      <w:sz w:val="18"/>
    </w:rPr>
  </w:style>
  <w:style w:type="paragraph" w:styleId="29">
    <w:name w:val="Body Text 2"/>
    <w:basedOn w:val="1"/>
    <w:link w:val="147"/>
    <w:unhideWhenUsed/>
    <w:qFormat/>
    <w:uiPriority w:val="99"/>
    <w:pPr>
      <w:spacing w:after="120" w:line="480" w:lineRule="auto"/>
    </w:pPr>
  </w:style>
  <w:style w:type="paragraph" w:styleId="30">
    <w:name w:val="List Continue 2"/>
    <w:basedOn w:val="1"/>
    <w:unhideWhenUsed/>
    <w:qFormat/>
    <w:uiPriority w:val="99"/>
    <w:pPr>
      <w:spacing w:after="120"/>
      <w:ind w:left="720"/>
      <w:contextualSpacing/>
    </w:pPr>
  </w:style>
  <w:style w:type="paragraph" w:styleId="31">
    <w:name w:val="List Continue 3"/>
    <w:basedOn w:val="1"/>
    <w:unhideWhenUsed/>
    <w:qFormat/>
    <w:uiPriority w:val="99"/>
    <w:pPr>
      <w:spacing w:after="120"/>
      <w:ind w:left="1080"/>
      <w:contextualSpacing/>
    </w:pPr>
  </w:style>
  <w:style w:type="paragraph" w:styleId="32">
    <w:name w:val="Title"/>
    <w:basedOn w:val="1"/>
    <w:next w:val="1"/>
    <w:link w:val="143"/>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table" w:styleId="34">
    <w:name w:val="Table Grid"/>
    <w:basedOn w:val="3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35">
    <w:name w:val="Light Shading"/>
    <w:basedOn w:val="33"/>
    <w:qFormat/>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36">
    <w:name w:val="Light Shading Accent 1"/>
    <w:basedOn w:val="33"/>
    <w:qFormat/>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37">
    <w:name w:val="Light Shading Accent 2"/>
    <w:basedOn w:val="33"/>
    <w:qFormat/>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38">
    <w:name w:val="Light Shading Accent 3"/>
    <w:basedOn w:val="33"/>
    <w:qFormat/>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39">
    <w:name w:val="Light Shading Accent 4"/>
    <w:basedOn w:val="33"/>
    <w:qFormat/>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40">
    <w:name w:val="Light Shading Accent 5"/>
    <w:basedOn w:val="33"/>
    <w:qFormat/>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1">
    <w:name w:val="Light Shading Accent 6"/>
    <w:basedOn w:val="33"/>
    <w:qFormat/>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2">
    <w:name w:val="Light List"/>
    <w:basedOn w:val="33"/>
    <w:qFormat/>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3">
    <w:name w:val="Light List Accent 1"/>
    <w:basedOn w:val="33"/>
    <w:qFormat/>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4">
    <w:name w:val="Light List Accent 2"/>
    <w:basedOn w:val="33"/>
    <w:qFormat/>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5">
    <w:name w:val="Light List Accent 3"/>
    <w:basedOn w:val="33"/>
    <w:qFormat/>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6">
    <w:name w:val="Light List Accent 4"/>
    <w:basedOn w:val="33"/>
    <w:qFormat/>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47">
    <w:name w:val="Light List Accent 5"/>
    <w:basedOn w:val="33"/>
    <w:qFormat/>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48">
    <w:name w:val="Light List Accent 6"/>
    <w:basedOn w:val="33"/>
    <w:qFormat/>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49">
    <w:name w:val="Light Grid"/>
    <w:basedOn w:val="33"/>
    <w:qFormat/>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50">
    <w:name w:val="Light Grid Accent 1"/>
    <w:basedOn w:val="33"/>
    <w:qFormat/>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1">
    <w:name w:val="Light Grid Accent 2"/>
    <w:basedOn w:val="33"/>
    <w:qFormat/>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2">
    <w:name w:val="Light Grid Accent 3"/>
    <w:basedOn w:val="33"/>
    <w:qFormat/>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3">
    <w:name w:val="Light Grid Accent 4"/>
    <w:basedOn w:val="33"/>
    <w:qFormat/>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4">
    <w:name w:val="Light Grid Accent 5"/>
    <w:basedOn w:val="33"/>
    <w:qFormat/>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5">
    <w:name w:val="Light Grid Accent 6"/>
    <w:basedOn w:val="33"/>
    <w:qFormat/>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6">
    <w:name w:val="Medium Shading 1"/>
    <w:basedOn w:val="33"/>
    <w:qFormat/>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57">
    <w:name w:val="Medium Shading 1 Accent 1"/>
    <w:basedOn w:val="33"/>
    <w:qFormat/>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58">
    <w:name w:val="Medium Shading 1 Accent 2"/>
    <w:basedOn w:val="33"/>
    <w:qFormat/>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59">
    <w:name w:val="Medium Shading 1 Accent 3"/>
    <w:basedOn w:val="33"/>
    <w:qFormat/>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60">
    <w:name w:val="Medium Shading 1 Accent 4"/>
    <w:basedOn w:val="33"/>
    <w:qFormat/>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1">
    <w:name w:val="Medium Shading 1 Accent 5"/>
    <w:basedOn w:val="33"/>
    <w:qFormat/>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2">
    <w:name w:val="Medium Shading 1 Accent 6"/>
    <w:basedOn w:val="33"/>
    <w:qFormat/>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3">
    <w:name w:val="Medium Shading 2"/>
    <w:basedOn w:val="33"/>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4">
    <w:name w:val="Medium Shading 2 Accent 1"/>
    <w:basedOn w:val="33"/>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5">
    <w:name w:val="Medium Shading 2 Accent 2"/>
    <w:basedOn w:val="33"/>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6">
    <w:name w:val="Medium Shading 2 Accent 3"/>
    <w:basedOn w:val="33"/>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7">
    <w:name w:val="Medium Shading 2 Accent 4"/>
    <w:basedOn w:val="33"/>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5"/>
    <w:basedOn w:val="33"/>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Shading 2 Accent 6"/>
    <w:basedOn w:val="33"/>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0">
    <w:name w:val="Medium List 1"/>
    <w:basedOn w:val="33"/>
    <w:qFormat/>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1">
    <w:name w:val="Medium List 1 Accent 1"/>
    <w:basedOn w:val="33"/>
    <w:qFormat/>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2">
    <w:name w:val="Medium List 1 Accent 2"/>
    <w:basedOn w:val="33"/>
    <w:qFormat/>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3">
    <w:name w:val="Medium List 1 Accent 3"/>
    <w:basedOn w:val="33"/>
    <w:qFormat/>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4">
    <w:name w:val="Medium List 1 Accent 4"/>
    <w:basedOn w:val="33"/>
    <w:qFormat/>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5">
    <w:name w:val="Medium List 1 Accent 5"/>
    <w:basedOn w:val="33"/>
    <w:qFormat/>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76">
    <w:name w:val="Medium List 1 Accent 6"/>
    <w:basedOn w:val="33"/>
    <w:qFormat/>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77">
    <w:name w:val="Medium List 2"/>
    <w:basedOn w:val="33"/>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78">
    <w:name w:val="Medium List 2 Accent 1"/>
    <w:basedOn w:val="33"/>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79">
    <w:name w:val="Medium List 2 Accent 2"/>
    <w:basedOn w:val="33"/>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80">
    <w:name w:val="Medium List 2 Accent 3"/>
    <w:basedOn w:val="33"/>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List 2 Accent 4"/>
    <w:basedOn w:val="33"/>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5"/>
    <w:basedOn w:val="33"/>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List 2 Accent 6"/>
    <w:basedOn w:val="33"/>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4">
    <w:name w:val="Medium Grid 1"/>
    <w:basedOn w:val="33"/>
    <w:qFormat/>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5">
    <w:name w:val="Medium Grid 1 Accent 1"/>
    <w:basedOn w:val="33"/>
    <w:qFormat/>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86">
    <w:name w:val="Medium Grid 1 Accent 2"/>
    <w:basedOn w:val="33"/>
    <w:qFormat/>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7">
    <w:name w:val="Medium Grid 1 Accent 3"/>
    <w:basedOn w:val="33"/>
    <w:qFormat/>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88">
    <w:name w:val="Medium Grid 1 Accent 4"/>
    <w:basedOn w:val="33"/>
    <w:qFormat/>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89">
    <w:name w:val="Medium Grid 1 Accent 5"/>
    <w:basedOn w:val="33"/>
    <w:qFormat/>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90">
    <w:name w:val="Medium Grid 1 Accent 6"/>
    <w:basedOn w:val="33"/>
    <w:qFormat/>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1">
    <w:name w:val="Medium Grid 2"/>
    <w:basedOn w:val="33"/>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2">
    <w:name w:val="Medium Grid 2 Accent 1"/>
    <w:basedOn w:val="33"/>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3">
    <w:name w:val="Medium Grid 2 Accent 2"/>
    <w:basedOn w:val="33"/>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4">
    <w:name w:val="Medium Grid 2 Accent 3"/>
    <w:basedOn w:val="33"/>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5">
    <w:name w:val="Medium Grid 2 Accent 4"/>
    <w:basedOn w:val="33"/>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96">
    <w:name w:val="Medium Grid 2 Accent 5"/>
    <w:basedOn w:val="33"/>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97">
    <w:name w:val="Medium Grid 2 Accent 6"/>
    <w:basedOn w:val="33"/>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98">
    <w:name w:val="Medium Grid 3"/>
    <w:basedOn w:val="33"/>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99">
    <w:name w:val="Medium Grid 3 Accent 1"/>
    <w:basedOn w:val="33"/>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100">
    <w:name w:val="Medium Grid 3 Accent 2"/>
    <w:basedOn w:val="33"/>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1">
    <w:name w:val="Medium Grid 3 Accent 3"/>
    <w:basedOn w:val="33"/>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2">
    <w:name w:val="Medium Grid 3 Accent 4"/>
    <w:basedOn w:val="33"/>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3">
    <w:name w:val="Medium Grid 3 Accent 5"/>
    <w:basedOn w:val="33"/>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4">
    <w:name w:val="Medium Grid 3 Accent 6"/>
    <w:basedOn w:val="33"/>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5">
    <w:name w:val="Dark List"/>
    <w:basedOn w:val="33"/>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06">
    <w:name w:val="Dark List Accent 1"/>
    <w:basedOn w:val="33"/>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07">
    <w:name w:val="Dark List Accent 2"/>
    <w:basedOn w:val="33"/>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08">
    <w:name w:val="Dark List Accent 3"/>
    <w:basedOn w:val="33"/>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09">
    <w:name w:val="Dark List Accent 4"/>
    <w:basedOn w:val="33"/>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10">
    <w:name w:val="Dark List Accent 5"/>
    <w:basedOn w:val="33"/>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1">
    <w:name w:val="Dark List Accent 6"/>
    <w:basedOn w:val="33"/>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2">
    <w:name w:val="Colorful Shading"/>
    <w:basedOn w:val="33"/>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3">
    <w:name w:val="Colorful Shading Accent 1"/>
    <w:basedOn w:val="33"/>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4">
    <w:name w:val="Colorful Shading Accent 2"/>
    <w:basedOn w:val="33"/>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5">
    <w:name w:val="Colorful Shading Accent 3"/>
    <w:basedOn w:val="33"/>
    <w:qFormat/>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16">
    <w:name w:val="Colorful Shading Accent 4"/>
    <w:basedOn w:val="33"/>
    <w:qFormat/>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5"/>
    <w:basedOn w:val="33"/>
    <w:qFormat/>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8">
    <w:name w:val="Colorful Shading Accent 6"/>
    <w:basedOn w:val="33"/>
    <w:qFormat/>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9">
    <w:name w:val="Colorful List"/>
    <w:basedOn w:val="33"/>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20">
    <w:name w:val="Colorful List Accent 1"/>
    <w:basedOn w:val="33"/>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1">
    <w:name w:val="Colorful List Accent 2"/>
    <w:basedOn w:val="33"/>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2">
    <w:name w:val="Colorful List Accent 3"/>
    <w:basedOn w:val="33"/>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3">
    <w:name w:val="Colorful List Accent 4"/>
    <w:basedOn w:val="33"/>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4">
    <w:name w:val="Colorful List Accent 5"/>
    <w:basedOn w:val="33"/>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5">
    <w:name w:val="Colorful List Accent 6"/>
    <w:basedOn w:val="33"/>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26">
    <w:name w:val="Colorful Grid"/>
    <w:basedOn w:val="33"/>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27">
    <w:name w:val="Colorful Grid Accent 1"/>
    <w:basedOn w:val="33"/>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28">
    <w:name w:val="Colorful Grid Accent 2"/>
    <w:basedOn w:val="33"/>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29">
    <w:name w:val="Colorful Grid Accent 3"/>
    <w:basedOn w:val="33"/>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30">
    <w:name w:val="Colorful Grid Accent 4"/>
    <w:basedOn w:val="33"/>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1">
    <w:name w:val="Colorful Grid Accent 5"/>
    <w:basedOn w:val="33"/>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2">
    <w:name w:val="Colorful Grid Accent 6"/>
    <w:basedOn w:val="33"/>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134">
    <w:name w:val="Strong"/>
    <w:basedOn w:val="133"/>
    <w:qFormat/>
    <w:uiPriority w:val="22"/>
    <w:rPr>
      <w:b/>
      <w:bCs/>
    </w:rPr>
  </w:style>
  <w:style w:type="character" w:styleId="135">
    <w:name w:val="Emphasis"/>
    <w:basedOn w:val="133"/>
    <w:qFormat/>
    <w:uiPriority w:val="20"/>
    <w:rPr>
      <w:i/>
      <w:iCs/>
    </w:rPr>
  </w:style>
  <w:style w:type="character" w:styleId="136">
    <w:name w:val="footnote reference"/>
    <w:basedOn w:val="133"/>
    <w:semiHidden/>
    <w:unhideWhenUsed/>
    <w:uiPriority w:val="99"/>
    <w:rPr>
      <w:vertAlign w:val="superscript"/>
    </w:rPr>
  </w:style>
  <w:style w:type="character" w:customStyle="1" w:styleId="137">
    <w:name w:val="Header Char"/>
    <w:basedOn w:val="133"/>
    <w:link w:val="25"/>
    <w:uiPriority w:val="99"/>
  </w:style>
  <w:style w:type="character" w:customStyle="1" w:styleId="138">
    <w:name w:val="Footer Char"/>
    <w:basedOn w:val="133"/>
    <w:link w:val="24"/>
    <w:uiPriority w:val="99"/>
  </w:style>
  <w:style w:type="paragraph" w:styleId="139">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40">
    <w:name w:val="Heading 1 Char"/>
    <w:basedOn w:val="133"/>
    <w:link w:val="3"/>
    <w:qFormat/>
    <w:uiPriority w:val="9"/>
    <w:rPr>
      <w:rFonts w:asciiTheme="majorHAnsi" w:hAnsiTheme="majorHAnsi" w:eastAsiaTheme="majorEastAsia" w:cstheme="majorBidi"/>
      <w:b/>
      <w:bCs/>
      <w:color w:val="376092" w:themeColor="accent1" w:themeShade="BF"/>
      <w:sz w:val="28"/>
      <w:szCs w:val="28"/>
    </w:rPr>
  </w:style>
  <w:style w:type="character" w:customStyle="1" w:styleId="141">
    <w:name w:val="Heading 2 Char"/>
    <w:basedOn w:val="133"/>
    <w:link w:val="4"/>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2">
    <w:name w:val="Heading 3 Char"/>
    <w:basedOn w:val="133"/>
    <w:link w:val="5"/>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3">
    <w:name w:val="Title Char"/>
    <w:basedOn w:val="133"/>
    <w:link w:val="32"/>
    <w:qFormat/>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4">
    <w:name w:val="Subtitle Char"/>
    <w:basedOn w:val="133"/>
    <w:link w:val="26"/>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5">
    <w:name w:val="List Paragraph"/>
    <w:basedOn w:val="1"/>
    <w:qFormat/>
    <w:uiPriority w:val="34"/>
    <w:pPr>
      <w:ind w:left="720"/>
      <w:contextualSpacing/>
    </w:pPr>
  </w:style>
  <w:style w:type="character" w:customStyle="1" w:styleId="146">
    <w:name w:val="Body Text Char"/>
    <w:basedOn w:val="133"/>
    <w:link w:val="19"/>
    <w:qFormat/>
    <w:uiPriority w:val="99"/>
  </w:style>
  <w:style w:type="character" w:customStyle="1" w:styleId="147">
    <w:name w:val="Body Text 2 Char"/>
    <w:basedOn w:val="133"/>
    <w:link w:val="29"/>
    <w:qFormat/>
    <w:uiPriority w:val="99"/>
  </w:style>
  <w:style w:type="character" w:customStyle="1" w:styleId="148">
    <w:name w:val="Body Text 3 Char"/>
    <w:basedOn w:val="133"/>
    <w:link w:val="17"/>
    <w:qFormat/>
    <w:uiPriority w:val="99"/>
    <w:rPr>
      <w:sz w:val="16"/>
      <w:szCs w:val="16"/>
    </w:rPr>
  </w:style>
  <w:style w:type="character" w:customStyle="1" w:styleId="149">
    <w:name w:val="Macro Text Char"/>
    <w:basedOn w:val="133"/>
    <w:link w:val="2"/>
    <w:qFormat/>
    <w:uiPriority w:val="99"/>
    <w:rPr>
      <w:rFonts w:ascii="Courier" w:hAnsi="Courier"/>
      <w:sz w:val="20"/>
      <w:szCs w:val="20"/>
    </w:rPr>
  </w:style>
  <w:style w:type="paragraph" w:styleId="150">
    <w:name w:val="Quote"/>
    <w:basedOn w:val="1"/>
    <w:next w:val="1"/>
    <w:link w:val="151"/>
    <w:qFormat/>
    <w:uiPriority w:val="29"/>
    <w:rPr>
      <w:i/>
      <w:iCs/>
      <w:color w:val="000000" w:themeColor="text1"/>
      <w14:textFill>
        <w14:solidFill>
          <w14:schemeClr w14:val="tx1"/>
        </w14:solidFill>
      </w14:textFill>
    </w:rPr>
  </w:style>
  <w:style w:type="character" w:customStyle="1" w:styleId="151">
    <w:name w:val="Quote Char"/>
    <w:basedOn w:val="133"/>
    <w:link w:val="150"/>
    <w:qFormat/>
    <w:uiPriority w:val="29"/>
    <w:rPr>
      <w:i/>
      <w:iCs/>
      <w:color w:val="000000" w:themeColor="text1"/>
      <w14:textFill>
        <w14:solidFill>
          <w14:schemeClr w14:val="tx1"/>
        </w14:solidFill>
      </w14:textFill>
    </w:rPr>
  </w:style>
  <w:style w:type="character" w:customStyle="1" w:styleId="152">
    <w:name w:val="Heading 4 Char"/>
    <w:basedOn w:val="133"/>
    <w:link w:val="6"/>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3">
    <w:name w:val="Heading 5 Char"/>
    <w:basedOn w:val="133"/>
    <w:link w:val="7"/>
    <w:semiHidden/>
    <w:qFormat/>
    <w:uiPriority w:val="9"/>
    <w:rPr>
      <w:rFonts w:asciiTheme="majorHAnsi" w:hAnsiTheme="majorHAnsi" w:eastAsiaTheme="majorEastAsia" w:cstheme="majorBidi"/>
      <w:color w:val="254061" w:themeColor="accent1" w:themeShade="80"/>
    </w:rPr>
  </w:style>
  <w:style w:type="character" w:customStyle="1" w:styleId="154">
    <w:name w:val="Heading 6 Char"/>
    <w:basedOn w:val="133"/>
    <w:link w:val="8"/>
    <w:semiHidden/>
    <w:qFormat/>
    <w:uiPriority w:val="9"/>
    <w:rPr>
      <w:rFonts w:asciiTheme="majorHAnsi" w:hAnsiTheme="majorHAnsi" w:eastAsiaTheme="majorEastAsia" w:cstheme="majorBidi"/>
      <w:i/>
      <w:iCs/>
      <w:color w:val="254061" w:themeColor="accent1" w:themeShade="80"/>
    </w:rPr>
  </w:style>
  <w:style w:type="character" w:customStyle="1" w:styleId="155">
    <w:name w:val="Heading 7 Char"/>
    <w:basedOn w:val="133"/>
    <w:link w:val="9"/>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6">
    <w:name w:val="Heading 8 Char"/>
    <w:basedOn w:val="133"/>
    <w:link w:val="10"/>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7">
    <w:name w:val="Heading 9 Char"/>
    <w:basedOn w:val="133"/>
    <w:link w:val="11"/>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58">
    <w:name w:val="Intense Quote"/>
    <w:basedOn w:val="1"/>
    <w:next w:val="1"/>
    <w:link w:val="159"/>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59">
    <w:name w:val="Intense Quote Char"/>
    <w:basedOn w:val="133"/>
    <w:link w:val="158"/>
    <w:qFormat/>
    <w:uiPriority w:val="30"/>
    <w:rPr>
      <w:b/>
      <w:bCs/>
      <w:i/>
      <w:iCs/>
      <w:color w:val="4F81BD" w:themeColor="accent1"/>
      <w14:textFill>
        <w14:solidFill>
          <w14:schemeClr w14:val="accent1"/>
        </w14:solidFill>
      </w14:textFill>
    </w:rPr>
  </w:style>
  <w:style w:type="character" w:customStyle="1" w:styleId="160">
    <w:name w:val="Subtle Emphasis"/>
    <w:basedOn w:val="133"/>
    <w:qFormat/>
    <w:uiPriority w:val="19"/>
    <w:rPr>
      <w:i/>
      <w:iCs/>
      <w:color w:val="808080" w:themeColor="text1" w:themeTint="80"/>
      <w14:textFill>
        <w14:solidFill>
          <w14:schemeClr w14:val="tx1">
            <w14:lumMod w14:val="50000"/>
            <w14:lumOff w14:val="50000"/>
          </w14:schemeClr>
        </w14:solidFill>
      </w14:textFill>
    </w:rPr>
  </w:style>
  <w:style w:type="character" w:customStyle="1" w:styleId="161">
    <w:name w:val="Intense Emphasis"/>
    <w:basedOn w:val="133"/>
    <w:qFormat/>
    <w:uiPriority w:val="21"/>
    <w:rPr>
      <w:b/>
      <w:bCs/>
      <w:i/>
      <w:iCs/>
      <w:color w:val="4F81BD" w:themeColor="accent1"/>
      <w14:textFill>
        <w14:solidFill>
          <w14:schemeClr w14:val="accent1"/>
        </w14:solidFill>
      </w14:textFill>
    </w:rPr>
  </w:style>
  <w:style w:type="character" w:customStyle="1" w:styleId="162">
    <w:name w:val="Subtle Reference"/>
    <w:basedOn w:val="133"/>
    <w:qFormat/>
    <w:uiPriority w:val="31"/>
    <w:rPr>
      <w:smallCaps/>
      <w:color w:val="C0504D" w:themeColor="accent2"/>
      <w:u w:val="single"/>
      <w14:textFill>
        <w14:solidFill>
          <w14:schemeClr w14:val="accent2"/>
        </w14:solidFill>
      </w14:textFill>
    </w:rPr>
  </w:style>
  <w:style w:type="character" w:customStyle="1" w:styleId="163">
    <w:name w:val="Intense Reference"/>
    <w:basedOn w:val="133"/>
    <w:qFormat/>
    <w:uiPriority w:val="32"/>
    <w:rPr>
      <w:b/>
      <w:bCs/>
      <w:smallCaps/>
      <w:color w:val="C0504D" w:themeColor="accent2"/>
      <w:spacing w:val="5"/>
      <w:u w:val="single"/>
      <w14:textFill>
        <w14:solidFill>
          <w14:schemeClr w14:val="accent2"/>
        </w14:solidFill>
      </w14:textFill>
    </w:rPr>
  </w:style>
  <w:style w:type="character" w:customStyle="1" w:styleId="164">
    <w:name w:val="Book Title"/>
    <w:basedOn w:val="133"/>
    <w:qFormat/>
    <w:uiPriority w:val="33"/>
    <w:rPr>
      <w:b/>
      <w:bCs/>
      <w:smallCaps/>
      <w:spacing w:val="5"/>
    </w:rPr>
  </w:style>
  <w:style w:type="paragraph" w:customStyle="1" w:styleId="165">
    <w:name w:val="TOC Heading"/>
    <w:basedOn w:val="3"/>
    <w:next w:val="1"/>
    <w:semiHidden/>
    <w:unhideWhenUsed/>
    <w:qFormat/>
    <w:uiPriority w:val="39"/>
    <w:pPr>
      <w:outlineLvl w:val="9"/>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5</Pages>
  <Words>1161</Words>
  <Characters>1247</Characters>
  <Lines>0</Lines>
  <Paragraphs>0</Paragraphs>
  <TotalTime>10</TotalTime>
  <ScaleCrop>false</ScaleCrop>
  <LinksUpToDate>false</LinksUpToDate>
  <CharactersWithSpaces>1249</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cp:lastModifiedBy>婧</cp:lastModifiedBy>
  <dcterms:modified xsi:type="dcterms:W3CDTF">2026-10-26T09:31:37Z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eyJoZGlkIjoiY2U2ZTNiMWFhODNlMmRiZjk2NmYyNjc3YTc5MmUyZWEiLCJ1c2VySWQiOiI0Mzc3MjM2MzgifQ==</vt:lpwstr>
  </property>
  <property fmtid="{D5CDD505-2E9C-101B-9397-08002B2CF9AE}" pid="3" name="KSOProductBuildVer">
    <vt:lpwstr>2052-12.1.0.29161</vt:lpwstr>
  </property>
  <property fmtid="{D5CDD505-2E9C-101B-9397-08002B2CF9AE}" pid="4" name="ICV">
    <vt:lpwstr>57891BED9D894609934B0CA98A9A45F6_13</vt:lpwstr>
  </property>
</Properties>
</file>